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F3A5F"/>
          <w:sz w:val="30"/>
          <w:szCs w:val="30"/>
        </w:rPr>
        <w:t xml:space="preserve">Automatización de la Proyección de Compras</w:t>
      </w:r>
    </w:p>
    <w:p>
      <w:pPr>
        <w:pBdr>
          <w:bottom w:val="single" w:color="2E7D74" w:sz="10" w:space="6"/>
        </w:pBdr>
        <w:spacing w:after="120"/>
      </w:pPr>
      <w:r>
        <w:rPr>
          <w:rFonts w:ascii="Calibri" w:cs="Calibri" w:eastAsia="Calibri" w:hAnsi="Calibri"/>
          <w:i/>
          <w:iCs/>
          <w:color w:val="5A5A5A"/>
          <w:sz w:val="20"/>
          <w:szCs w:val="20"/>
        </w:rPr>
        <w:t xml:space="preserve">Un antes y un después en la operación del área de compras</w:t>
      </w:r>
    </w:p>
    <w:p>
      <w:pPr>
        <w:spacing w:after="140"/>
      </w:pPr>
      <w:r>
        <w:rPr>
          <w:rFonts w:ascii="Calibri" w:cs="Calibri" w:eastAsia="Calibri" w:hAnsi="Calibri"/>
          <w:color w:val="222222"/>
          <w:sz w:val="19"/>
          <w:szCs w:val="19"/>
        </w:rPr>
        <w:t xml:space="preserve">En el marco de la modernización de nuestros procesos, el área de compras reemplazó la elaboración manual de la proyección de pedidos por un motor automatizado. El resultado: decisiones más rápidas, más precisas y completamente trazables.</w:t>
      </w:r>
    </w:p>
    <w:tbl>
      <w:tblPr>
        <w:tblW w:type="dxa" w:w="9360"/>
        <w:tblBorders>
          <w:top w:val="single" w:color="C9D6DA" w:sz="4"/>
          <w:left w:val="single" w:color="C9D6DA" w:sz="4"/>
          <w:bottom w:val="single" w:color="C9D6DA" w:sz="4"/>
          <w:right w:val="single" w:color="C9D6DA" w:sz="4"/>
          <w:insideH w:val="single" w:color="C9D6DA" w:sz="4"/>
          <w:insideV w:val="single" w:color="C9D6DA" w:sz="4"/>
        </w:tblBorders>
      </w:tblPr>
      <w:tblGrid>
        <w:gridCol w:w="4680"/>
        <w:gridCol w:w="4680"/>
      </w:tblGrid>
      <w:tr>
        <w:trPr>
          <w:tblHeader/>
        </w:trPr>
        <w:tc>
          <w:tcPr>
            <w:tcW w:type="dxa" w:w="4680"/>
            <w:shd w:fill="5A5A5A" w:color="auto" w:val="clear"/>
            <w:tcMar>
              <w:top w:type="dxa" w:w="90"/>
              <w:left w:type="dxa" w:w="130"/>
              <w:bottom w:type="dxa" w:w="90"/>
              <w:right w:type="dxa" w:w="130"/>
            </w:tcMar>
          </w:tcPr>
          <w:p>
            <w:r>
              <w:rPr>
                <w:rFonts w:ascii="Calibri" w:cs="Calibri" w:eastAsia="Calibri" w:hAnsi="Calibri"/>
                <w:b/>
                <w:bCs/>
                <w:color w:val="FFFFFF"/>
                <w:sz w:val="19"/>
                <w:szCs w:val="19"/>
              </w:rPr>
              <w:t xml:space="preserve">ANTES</w:t>
            </w:r>
          </w:p>
        </w:tc>
        <w:tc>
          <w:tcPr>
            <w:tcW w:type="dxa" w:w="4680"/>
            <w:shd w:fill="2E7D74" w:color="auto" w:val="clear"/>
            <w:tcMar>
              <w:top w:type="dxa" w:w="90"/>
              <w:left w:type="dxa" w:w="130"/>
              <w:bottom w:type="dxa" w:w="90"/>
              <w:right w:type="dxa" w:w="130"/>
            </w:tcMar>
          </w:tcPr>
          <w:p>
            <w:r>
              <w:rPr>
                <w:rFonts w:ascii="Calibri" w:cs="Calibri" w:eastAsia="Calibri" w:hAnsi="Calibri"/>
                <w:b/>
                <w:bCs/>
                <w:color w:val="FFFFFF"/>
                <w:sz w:val="19"/>
                <w:szCs w:val="19"/>
              </w:rPr>
              <w:t xml:space="preserve">DESPUÉS</w:t>
            </w:r>
          </w:p>
        </w:tc>
      </w:tr>
      <w:tr>
        <w:tc>
          <w:tcPr>
            <w:tcW w:type="dxa" w:w="4680"/>
            <w:shd w:fill="FFFFFF" w:color="auto" w:val="clear"/>
            <w:tcMar>
              <w:top w:type="dxa" w:w="90"/>
              <w:left w:type="dxa" w:w="130"/>
              <w:bottom w:type="dxa" w:w="90"/>
              <w:right w:type="dxa" w:w="130"/>
            </w:tcMar>
          </w:tcPr>
          <w:p>
            <w:pPr>
              <w:spacing w:after="0"/>
            </w:pPr>
            <w:r>
              <w:rPr>
                <w:rFonts w:ascii="Calibri" w:cs="Calibri" w:eastAsia="Calibri" w:hAnsi="Calibri"/>
                <w:color w:val="222222"/>
                <w:sz w:val="19"/>
                <w:szCs w:val="19"/>
              </w:rPr>
              <w:t xml:space="preserve">La proyección se elaboraba manualmente y tomaba cerca de una semana. Consolidar archivos, clasificar consumos y calcular los pedidos a mano hacía el proceso lento, difícil de repetir y expuesto a errores e inconsistencias.</w:t>
            </w:r>
          </w:p>
        </w:tc>
        <w:tc>
          <w:tcPr>
            <w:tcW w:type="dxa" w:w="4680"/>
            <w:shd w:fill="EEF3F5" w:color="auto" w:val="clear"/>
            <w:tcMar>
              <w:top w:type="dxa" w:w="90"/>
              <w:left w:type="dxa" w:w="130"/>
              <w:bottom w:type="dxa" w:w="90"/>
              <w:right w:type="dxa" w:w="130"/>
            </w:tcMar>
          </w:tcPr>
          <w:p>
            <w:pPr>
              <w:spacing w:after="0"/>
            </w:pPr>
            <w:r>
              <w:rPr>
                <w:rFonts w:ascii="Calibri" w:cs="Calibri" w:eastAsia="Calibri" w:hAnsi="Calibri"/>
                <w:color w:val="222222"/>
                <w:sz w:val="19"/>
                <w:szCs w:val="19"/>
              </w:rPr>
              <w:t xml:space="preserve">El motor genera la misma proyección en minutos —incluso segundos—. Se cargan los archivos y el sistema entrega el resultado completo, verificado y listo para la toma de decisiones.</w:t>
            </w:r>
          </w:p>
        </w:tc>
      </w:tr>
    </w:tbl>
    <w:p>
      <w:pPr>
        <w:spacing w:after="60" w:before="160"/>
      </w:pPr>
      <w:r>
        <w:rPr>
          <w:rFonts w:ascii="Calibri" w:cs="Calibri" w:eastAsia="Calibri" w:hAnsi="Calibri"/>
          <w:b/>
          <w:bCs/>
          <w:color w:val="1F3A5F"/>
          <w:sz w:val="21"/>
          <w:szCs w:val="21"/>
        </w:rPr>
        <w:t xml:space="preserve">Qué hace el motor, de forma automática</w:t>
      </w:r>
    </w:p>
    <w:p>
      <w:pPr>
        <w:pStyle w:val="ListParagraph"/>
        <w:numPr>
          <w:ilvl w:val="0"/>
          <w:numId w:val="2"/>
        </w:numPr>
        <w:spacing w:after="40"/>
      </w:pPr>
      <w:r>
        <w:rPr>
          <w:rFonts w:ascii="Calibri" w:cs="Calibri" w:eastAsia="Calibri" w:hAnsi="Calibri"/>
          <w:color w:val="222222"/>
          <w:sz w:val="19"/>
          <w:szCs w:val="19"/>
        </w:rPr>
        <w:t xml:space="preserve">Consolida y cruza por código múltiples fuentes: maestro, dispensación, remisiones, stock de bodega (CEDI) y de puntos, y moléculas.</w:t>
      </w:r>
    </w:p>
    <w:p>
      <w:pPr>
        <w:pStyle w:val="ListParagraph"/>
        <w:numPr>
          <w:ilvl w:val="0"/>
          <w:numId w:val="2"/>
        </w:numPr>
        <w:spacing w:after="40"/>
      </w:pPr>
      <w:r>
        <w:rPr>
          <w:rFonts w:ascii="Calibri" w:cs="Calibri" w:eastAsia="Calibri" w:hAnsi="Calibri"/>
          <w:color w:val="222222"/>
          <w:sz w:val="19"/>
          <w:szCs w:val="19"/>
        </w:rPr>
        <w:t xml:space="preserve">Clasifica cada consumo por convenio: NEPS Cápita, NEPS Evento, FOMAG y Remisiones.</w:t>
      </w:r>
    </w:p>
    <w:p>
      <w:pPr>
        <w:pStyle w:val="ListParagraph"/>
        <w:numPr>
          <w:ilvl w:val="0"/>
          <w:numId w:val="2"/>
        </w:numPr>
        <w:spacing w:after="40"/>
      </w:pPr>
      <w:r>
        <w:rPr>
          <w:rFonts w:ascii="Calibri" w:cs="Calibri" w:eastAsia="Calibri" w:hAnsi="Calibri"/>
          <w:color w:val="222222"/>
          <w:sz w:val="19"/>
          <w:szCs w:val="19"/>
        </w:rPr>
        <w:t xml:space="preserve">Calcula demanda ponderada, rotación ABC y pedido por canal, con cobertura, tiempos de entrega y stock de seguridad parametrizables.</w:t>
      </w:r>
    </w:p>
    <w:p>
      <w:pPr>
        <w:pStyle w:val="ListParagraph"/>
        <w:numPr>
          <w:ilvl w:val="0"/>
          <w:numId w:val="2"/>
        </w:numPr>
        <w:spacing w:after="40"/>
      </w:pPr>
      <w:r>
        <w:rPr>
          <w:rFonts w:ascii="Calibri" w:cs="Calibri" w:eastAsia="Calibri" w:hAnsi="Calibri"/>
          <w:color w:val="222222"/>
          <w:sz w:val="19"/>
          <w:szCs w:val="19"/>
        </w:rPr>
        <w:t xml:space="preserve">Redondea a empaque (cajas/presentaciones completas), valoriza el pedido y consolida por molécula.</w:t>
      </w:r>
    </w:p>
    <w:p>
      <w:pPr>
        <w:pStyle w:val="ListParagraph"/>
        <w:numPr>
          <w:ilvl w:val="0"/>
          <w:numId w:val="2"/>
        </w:numPr>
        <w:spacing w:after="40"/>
      </w:pPr>
      <w:r>
        <w:rPr>
          <w:rFonts w:ascii="Calibri" w:cs="Calibri" w:eastAsia="Calibri" w:hAnsi="Calibri"/>
          <w:color w:val="222222"/>
          <w:sz w:val="19"/>
          <w:szCs w:val="19"/>
        </w:rPr>
        <w:t xml:space="preserve">Ejecuta una auditoría de integridad que verifica cuadres y consistencia de los datos, y permite simular escenarios de abastecimiento.</w:t>
      </w:r>
    </w:p>
    <w:p>
      <w:pPr>
        <w:pStyle w:val="ListParagraph"/>
        <w:numPr>
          <w:ilvl w:val="0"/>
          <w:numId w:val="2"/>
        </w:numPr>
        <w:spacing w:after="40"/>
      </w:pPr>
      <w:r>
        <w:rPr>
          <w:rFonts w:ascii="Calibri" w:cs="Calibri" w:eastAsia="Calibri" w:hAnsi="Calibri"/>
          <w:color w:val="222222"/>
          <w:sz w:val="19"/>
          <w:szCs w:val="19"/>
        </w:rPr>
        <w:t xml:space="preserve">Genera y descarga la proyección desde una interfaz web, sin intervención manual.</w:t>
      </w:r>
    </w:p>
    <w:p>
      <w:pPr>
        <w:spacing w:after="60" w:before="160"/>
      </w:pPr>
      <w:r>
        <w:rPr>
          <w:rFonts w:ascii="Calibri" w:cs="Calibri" w:eastAsia="Calibri" w:hAnsi="Calibri"/>
          <w:b/>
          <w:bCs/>
          <w:color w:val="1F3A5F"/>
          <w:sz w:val="21"/>
          <w:szCs w:val="21"/>
        </w:rPr>
        <w:t xml:space="preserve">Cálculos que dejaron de hacerse a mano</w:t>
      </w:r>
    </w:p>
    <w:p>
      <w:pPr>
        <w:spacing w:after="140"/>
      </w:pPr>
      <w:r>
        <w:rPr>
          <w:rFonts w:ascii="Calibri" w:cs="Calibri" w:eastAsia="Calibri" w:hAnsi="Calibri"/>
          <w:color w:val="222222"/>
          <w:sz w:val="19"/>
          <w:szCs w:val="19"/>
        </w:rPr>
        <w:t xml:space="preserve">Consolidación de meses y fuentes · clasificación por convenio · ponderación de la demanda · rotación ABC · cálculo de necesidad y pedido por canal · redondeo a cajas · valorización · cuadres de auditoría.</w:t>
      </w:r>
    </w:p>
    <w:p>
      <w:pPr>
        <w:spacing w:after="60" w:before="160"/>
      </w:pPr>
      <w:r>
        <w:rPr>
          <w:rFonts w:ascii="Calibri" w:cs="Calibri" w:eastAsia="Calibri" w:hAnsi="Calibri"/>
          <w:b/>
          <w:bCs/>
          <w:color w:val="1F3A5F"/>
          <w:sz w:val="21"/>
          <w:szCs w:val="21"/>
        </w:rPr>
        <w:t xml:space="preserve">Impacto</w:t>
      </w:r>
    </w:p>
    <w:p>
      <w:pPr>
        <w:pStyle w:val="ListParagraph"/>
        <w:numPr>
          <w:ilvl w:val="0"/>
          <w:numId w:val="2"/>
        </w:numPr>
        <w:spacing w:after="40"/>
      </w:pPr>
      <w:r>
        <w:rPr>
          <w:rFonts w:ascii="Calibri" w:cs="Calibri" w:eastAsia="Calibri" w:hAnsi="Calibri"/>
          <w:color w:val="222222"/>
          <w:sz w:val="19"/>
          <w:szCs w:val="19"/>
        </w:rPr>
        <w:t xml:space="preserve">Tiempo: de aproximadamente una semana a minutos o segundos.</w:t>
      </w:r>
    </w:p>
    <w:p>
      <w:pPr>
        <w:pStyle w:val="ListParagraph"/>
        <w:numPr>
          <w:ilvl w:val="0"/>
          <w:numId w:val="2"/>
        </w:numPr>
        <w:spacing w:after="40"/>
      </w:pPr>
      <w:r>
        <w:rPr>
          <w:rFonts w:ascii="Calibri" w:cs="Calibri" w:eastAsia="Calibri" w:hAnsi="Calibri"/>
          <w:color w:val="222222"/>
          <w:sz w:val="19"/>
          <w:szCs w:val="19"/>
        </w:rPr>
        <w:t xml:space="preserve">Precisión y consistencia: resultados verificados automáticamente, sin errores de digitación ni criterios dispares entre personas.</w:t>
      </w:r>
    </w:p>
    <w:p>
      <w:pPr>
        <w:pStyle w:val="ListParagraph"/>
        <w:numPr>
          <w:ilvl w:val="0"/>
          <w:numId w:val="2"/>
        </w:numPr>
        <w:spacing w:after="40"/>
      </w:pPr>
      <w:r>
        <w:rPr>
          <w:rFonts w:ascii="Calibri" w:cs="Calibri" w:eastAsia="Calibri" w:hAnsi="Calibri"/>
          <w:color w:val="222222"/>
          <w:sz w:val="19"/>
          <w:szCs w:val="19"/>
        </w:rPr>
        <w:t xml:space="preserve">Capacidad de análisis: permite comparar escenarios (con o sin CEDI, con o sin puntos) para decidir mejor.</w:t>
      </w:r>
    </w:p>
    <w:p>
      <w:pPr>
        <w:spacing w:after="60" w:before="160"/>
      </w:pPr>
      <w:r>
        <w:rPr>
          <w:rFonts w:ascii="Calibri" w:cs="Calibri" w:eastAsia="Calibri" w:hAnsi="Calibri"/>
          <w:b/>
          <w:bCs/>
          <w:color w:val="1F3A5F"/>
          <w:sz w:val="21"/>
          <w:szCs w:val="21"/>
        </w:rPr>
        <w:t xml:space="preserve">Hacia dónde vamos</w:t>
      </w:r>
    </w:p>
    <w:p>
      <w:pPr>
        <w:spacing w:after="0"/>
      </w:pPr>
      <w:r>
        <w:rPr>
          <w:rFonts w:ascii="Calibri" w:cs="Calibri" w:eastAsia="Calibri" w:hAnsi="Calibri"/>
          <w:color w:val="222222"/>
          <w:sz w:val="19"/>
          <w:szCs w:val="19"/>
        </w:rPr>
        <w:t xml:space="preserve">La transformación de nuestros procesos manuales hacia la automatización continúa. El siguiente paso es un motor de abastecimiento para el área de inventarios, conectado con el motor de compras, de manera que ambas áreas operen sobre datos congruentes y compartan información de forma integrada.</w:t>
      </w:r>
    </w:p>
    <w:sectPr>
      <w:pgSz w:w="12240" w:h="15840" w:orient="portrait"/>
      <w:pgMar w:top="10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190"/>
      </w:pPr>
      <w:rPr>
        <w:color w:val="2E7D7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2026-09-01T12:53:50.498Z</dcterms:created>
  <dcterms:modified xsi:type="dcterms:W3CDTF">2026-09-01T12:53:50.499Z</dcterms:modified>
</cp:coreProperties>
</file>

<file path=docProps/custom.xml><?xml version="1.0" encoding="utf-8"?>
<Properties xmlns="http://schemas.openxmlformats.org/officeDocument/2006/custom-properties" xmlns:vt="http://schemas.openxmlformats.org/officeDocument/2006/docPropsVTypes"/>
</file>