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AD1E7" w14:textId="1705443C" w:rsidR="00CA30C7" w:rsidRPr="005709EB" w:rsidRDefault="008868CF" w:rsidP="00D655AD">
      <w:pPr>
        <w:pStyle w:val="Heading1"/>
        <w:spacing w:before="0"/>
        <w:rPr>
          <w:rFonts w:cstheme="majorHAnsi"/>
          <w:sz w:val="24"/>
          <w:szCs w:val="24"/>
          <w:lang w:val="es-CO"/>
        </w:rPr>
      </w:pPr>
      <w:r w:rsidRPr="005709EB">
        <w:rPr>
          <w:rFonts w:cstheme="majorHAnsi"/>
          <w:sz w:val="24"/>
          <w:szCs w:val="24"/>
          <w:lang w:val="es-CO"/>
        </w:rPr>
        <w:t xml:space="preserve">Taller </w:t>
      </w:r>
      <w:r w:rsidR="005709EB" w:rsidRPr="005709EB">
        <w:rPr>
          <w:rFonts w:cstheme="majorHAnsi"/>
          <w:sz w:val="24"/>
          <w:szCs w:val="24"/>
          <w:lang w:val="es-CO"/>
        </w:rPr>
        <w:t xml:space="preserve">5 – </w:t>
      </w:r>
      <w:r w:rsidR="00573A27">
        <w:rPr>
          <w:rFonts w:cstheme="majorHAnsi"/>
          <w:sz w:val="24"/>
          <w:szCs w:val="24"/>
          <w:lang w:val="es-CO"/>
        </w:rPr>
        <w:t>Construcción de un índice</w:t>
      </w:r>
      <w:r w:rsidR="00122C84">
        <w:rPr>
          <w:rFonts w:cstheme="majorHAnsi"/>
          <w:sz w:val="24"/>
          <w:szCs w:val="24"/>
          <w:lang w:val="es-CO"/>
        </w:rPr>
        <w:t xml:space="preserve"> para entender cambios en la economía global antes y después del COVID</w:t>
      </w:r>
    </w:p>
    <w:p w14:paraId="3461A42D" w14:textId="1CE446C5" w:rsidR="005709EB" w:rsidRPr="001C5877" w:rsidRDefault="005709EB" w:rsidP="00D655AD">
      <w:pPr>
        <w:pStyle w:val="ListBullet"/>
        <w:numPr>
          <w:ilvl w:val="0"/>
          <w:numId w:val="0"/>
        </w:numPr>
        <w:rPr>
          <w:lang w:val="es-CO"/>
        </w:rPr>
      </w:pPr>
      <w:r w:rsidRPr="005709EB">
        <w:rPr>
          <w:rFonts w:asciiTheme="majorHAnsi" w:hAnsiTheme="majorHAnsi" w:cstheme="majorHAnsi"/>
          <w:sz w:val="24"/>
          <w:szCs w:val="24"/>
          <w:lang w:val="es-CO"/>
        </w:rPr>
        <w:t xml:space="preserve">Este taller está basado en: </w:t>
      </w:r>
      <w:hyperlink r:id="rId6" w:history="1">
        <w:r w:rsidRPr="005709EB">
          <w:rPr>
            <w:rStyle w:val="Hyperlink"/>
            <w:rFonts w:asciiTheme="majorHAnsi" w:hAnsiTheme="majorHAnsi" w:cstheme="majorHAnsi"/>
            <w:sz w:val="24"/>
            <w:szCs w:val="24"/>
            <w:lang w:val="es-CO"/>
          </w:rPr>
          <w:t>https://books.core-econ.org/doing-economics/book/text/10-02.html</w:t>
        </w:r>
      </w:hyperlink>
    </w:p>
    <w:p w14:paraId="7C1EFB23" w14:textId="77E491FD" w:rsidR="001C5877" w:rsidRDefault="001C5877" w:rsidP="00D655AD">
      <w:pPr>
        <w:pStyle w:val="ListBullet"/>
        <w:numPr>
          <w:ilvl w:val="0"/>
          <w:numId w:val="0"/>
        </w:numPr>
        <w:rPr>
          <w:lang w:val="es-CO"/>
        </w:rPr>
      </w:pPr>
    </w:p>
    <w:p w14:paraId="1BD1E515" w14:textId="08CD3086" w:rsidR="001C5877" w:rsidRPr="001C5877" w:rsidRDefault="001C5877" w:rsidP="00D655AD">
      <w:pPr>
        <w:pStyle w:val="ListBullet"/>
        <w:numPr>
          <w:ilvl w:val="0"/>
          <w:numId w:val="0"/>
        </w:numPr>
        <w:rPr>
          <w:rFonts w:asciiTheme="majorHAnsi" w:hAnsiTheme="majorHAnsi" w:cstheme="majorHAnsi"/>
          <w:sz w:val="24"/>
          <w:szCs w:val="24"/>
          <w:lang w:val="es-CO"/>
        </w:rPr>
      </w:pPr>
      <w:r>
        <w:rPr>
          <w:lang w:val="es-CO"/>
        </w:rPr>
        <w:t xml:space="preserve">Grupo D: Esteban Vergara y Juan </w:t>
      </w:r>
      <w:proofErr w:type="spellStart"/>
      <w:r>
        <w:rPr>
          <w:lang w:val="es-CO"/>
        </w:rPr>
        <w:t>Jose</w:t>
      </w:r>
      <w:proofErr w:type="spellEnd"/>
      <w:r>
        <w:rPr>
          <w:lang w:val="es-CO"/>
        </w:rPr>
        <w:t xml:space="preserve"> </w:t>
      </w:r>
      <w:proofErr w:type="spellStart"/>
      <w:r>
        <w:rPr>
          <w:lang w:val="es-CO"/>
        </w:rPr>
        <w:t>Rusinque</w:t>
      </w:r>
      <w:proofErr w:type="spellEnd"/>
    </w:p>
    <w:p w14:paraId="6673BC9B" w14:textId="77777777" w:rsidR="00416B3A" w:rsidRDefault="00416B3A" w:rsidP="00D655AD">
      <w:pPr>
        <w:pStyle w:val="ListBullet"/>
        <w:numPr>
          <w:ilvl w:val="0"/>
          <w:numId w:val="0"/>
        </w:numPr>
        <w:ind w:left="360" w:hanging="360"/>
        <w:rPr>
          <w:rFonts w:asciiTheme="majorHAnsi" w:hAnsiTheme="majorHAnsi" w:cstheme="majorHAnsi"/>
          <w:sz w:val="24"/>
          <w:szCs w:val="24"/>
          <w:lang w:val="es-CO"/>
        </w:rPr>
      </w:pPr>
    </w:p>
    <w:p w14:paraId="7E034798" w14:textId="468F587A" w:rsidR="00416B3A" w:rsidRDefault="00573A27" w:rsidP="00416B3A">
      <w:pPr>
        <w:pStyle w:val="ListBullet"/>
        <w:numPr>
          <w:ilvl w:val="0"/>
          <w:numId w:val="11"/>
        </w:numPr>
        <w:rPr>
          <w:rFonts w:asciiTheme="majorHAnsi" w:hAnsiTheme="majorHAnsi" w:cstheme="majorHAnsi"/>
          <w:sz w:val="24"/>
          <w:szCs w:val="24"/>
          <w:lang w:val="es-CO"/>
        </w:rPr>
      </w:pPr>
      <w:r>
        <w:rPr>
          <w:rFonts w:asciiTheme="majorHAnsi" w:hAnsiTheme="majorHAnsi" w:cstheme="majorHAnsi"/>
          <w:sz w:val="24"/>
          <w:szCs w:val="24"/>
          <w:lang w:val="es-CO"/>
        </w:rPr>
        <w:t>Vamos a c</w:t>
      </w:r>
      <w:r w:rsidR="00416B3A">
        <w:rPr>
          <w:rFonts w:asciiTheme="majorHAnsi" w:hAnsiTheme="majorHAnsi" w:cstheme="majorHAnsi"/>
          <w:sz w:val="24"/>
          <w:szCs w:val="24"/>
          <w:lang w:val="es-CO"/>
        </w:rPr>
        <w:t xml:space="preserve">rear un índice con </w:t>
      </w:r>
      <w:r w:rsidR="009118C5">
        <w:rPr>
          <w:rFonts w:asciiTheme="majorHAnsi" w:hAnsiTheme="majorHAnsi" w:cstheme="majorHAnsi"/>
          <w:sz w:val="24"/>
          <w:szCs w:val="24"/>
          <w:lang w:val="es-CO"/>
        </w:rPr>
        <w:t>1</w:t>
      </w:r>
      <w:r w:rsidR="00416B3A">
        <w:rPr>
          <w:rFonts w:asciiTheme="majorHAnsi" w:hAnsiTheme="majorHAnsi" w:cstheme="majorHAnsi"/>
          <w:sz w:val="24"/>
          <w:szCs w:val="24"/>
          <w:lang w:val="es-CO"/>
        </w:rPr>
        <w:t xml:space="preserve">0 </w:t>
      </w:r>
      <w:proofErr w:type="spellStart"/>
      <w:r w:rsidR="00416B3A">
        <w:rPr>
          <w:rFonts w:asciiTheme="majorHAnsi" w:hAnsiTheme="majorHAnsi" w:cstheme="majorHAnsi"/>
          <w:sz w:val="24"/>
          <w:szCs w:val="24"/>
          <w:lang w:val="es-CO"/>
        </w:rPr>
        <w:t>securities</w:t>
      </w:r>
      <w:proofErr w:type="spellEnd"/>
      <w:r w:rsidR="00416B3A">
        <w:rPr>
          <w:rFonts w:asciiTheme="majorHAnsi" w:hAnsiTheme="majorHAnsi" w:cstheme="majorHAnsi"/>
          <w:sz w:val="24"/>
          <w:szCs w:val="24"/>
          <w:lang w:val="es-CO"/>
        </w:rPr>
        <w:t>, en 3 regiones diferentes del mundo</w:t>
      </w:r>
      <w:r>
        <w:rPr>
          <w:rFonts w:asciiTheme="majorHAnsi" w:hAnsiTheme="majorHAnsi" w:cstheme="majorHAnsi"/>
          <w:sz w:val="24"/>
          <w:szCs w:val="24"/>
          <w:lang w:val="es-CO"/>
        </w:rPr>
        <w:t>. Para ello, vamos a descargar los datos de precios y volúmenes de las mismas entre 2014 y 2024.</w:t>
      </w:r>
      <w:r w:rsidR="00B7058F">
        <w:rPr>
          <w:rFonts w:asciiTheme="majorHAnsi" w:hAnsiTheme="majorHAnsi" w:cstheme="majorHAnsi"/>
          <w:sz w:val="24"/>
          <w:szCs w:val="24"/>
          <w:lang w:val="es-CO"/>
        </w:rPr>
        <w:t xml:space="preserve"> Idealmente, utilizar la herramienta de conexión entre Excel y Bloomberg.</w:t>
      </w:r>
    </w:p>
    <w:p w14:paraId="2D884E27" w14:textId="47689422" w:rsidR="00416B3A" w:rsidRDefault="00416B3A" w:rsidP="00416B3A">
      <w:pPr>
        <w:pStyle w:val="ListBullet"/>
        <w:numPr>
          <w:ilvl w:val="0"/>
          <w:numId w:val="11"/>
        </w:numPr>
        <w:rPr>
          <w:rFonts w:asciiTheme="majorHAnsi" w:hAnsiTheme="majorHAnsi" w:cstheme="majorHAnsi"/>
          <w:sz w:val="24"/>
          <w:szCs w:val="24"/>
          <w:lang w:val="es-CO"/>
        </w:rPr>
      </w:pPr>
      <w:r>
        <w:rPr>
          <w:rFonts w:asciiTheme="majorHAnsi" w:hAnsiTheme="majorHAnsi" w:cstheme="majorHAnsi"/>
          <w:sz w:val="24"/>
          <w:szCs w:val="24"/>
          <w:lang w:val="es-CO"/>
        </w:rPr>
        <w:t>Resumir datos</w:t>
      </w:r>
    </w:p>
    <w:p w14:paraId="292570A1" w14:textId="77777777" w:rsidR="00F603B8" w:rsidRDefault="00416B3A" w:rsidP="00F603B8">
      <w:pPr>
        <w:pStyle w:val="ListBullet"/>
        <w:numPr>
          <w:ilvl w:val="1"/>
          <w:numId w:val="11"/>
        </w:numPr>
        <w:rPr>
          <w:rFonts w:asciiTheme="majorHAnsi" w:hAnsiTheme="majorHAnsi" w:cstheme="majorHAnsi"/>
          <w:sz w:val="24"/>
          <w:szCs w:val="24"/>
          <w:lang w:val="es-CO"/>
        </w:rPr>
      </w:pPr>
      <w:r>
        <w:rPr>
          <w:rFonts w:asciiTheme="majorHAnsi" w:hAnsiTheme="majorHAnsi" w:cstheme="majorHAnsi"/>
          <w:sz w:val="24"/>
          <w:szCs w:val="24"/>
          <w:lang w:val="es-CO"/>
        </w:rPr>
        <w:t xml:space="preserve">Describir </w:t>
      </w:r>
      <w:r w:rsidR="009118C5">
        <w:rPr>
          <w:rFonts w:asciiTheme="majorHAnsi" w:hAnsiTheme="majorHAnsi" w:cstheme="majorHAnsi"/>
          <w:sz w:val="24"/>
          <w:szCs w:val="24"/>
          <w:lang w:val="es-CO"/>
        </w:rPr>
        <w:t>la naturaleza del</w:t>
      </w:r>
      <w:r>
        <w:rPr>
          <w:rFonts w:asciiTheme="majorHAnsi" w:hAnsiTheme="majorHAnsi" w:cstheme="majorHAnsi"/>
          <w:sz w:val="24"/>
          <w:szCs w:val="24"/>
          <w:lang w:val="es-CO"/>
        </w:rPr>
        <w:t xml:space="preserve"> índice</w:t>
      </w:r>
      <w:r w:rsidR="009118C5">
        <w:rPr>
          <w:rFonts w:asciiTheme="majorHAnsi" w:hAnsiTheme="majorHAnsi" w:cstheme="majorHAnsi"/>
          <w:sz w:val="24"/>
          <w:szCs w:val="24"/>
          <w:lang w:val="es-CO"/>
        </w:rPr>
        <w:t>. ¿Qué incluye?, ¿qué industria tiene en cuenta?</w:t>
      </w:r>
    </w:p>
    <w:p w14:paraId="2BF72DDD" w14:textId="77777777" w:rsidR="00F603B8" w:rsidRPr="00F603B8" w:rsidRDefault="00F603B8" w:rsidP="00F603B8">
      <w:pPr>
        <w:pStyle w:val="ListBullet"/>
        <w:numPr>
          <w:ilvl w:val="0"/>
          <w:numId w:val="0"/>
        </w:numPr>
        <w:ind w:left="360" w:hanging="360"/>
        <w:rPr>
          <w:rFonts w:asciiTheme="majorHAnsi" w:hAnsiTheme="majorHAnsi" w:cstheme="majorHAnsi"/>
          <w:b/>
          <w:bCs/>
          <w:sz w:val="24"/>
          <w:szCs w:val="24"/>
          <w:lang w:val="es-CO"/>
        </w:rPr>
      </w:pPr>
      <w:r w:rsidRPr="00F603B8">
        <w:rPr>
          <w:rFonts w:asciiTheme="majorHAnsi" w:hAnsiTheme="majorHAnsi" w:cstheme="majorHAnsi"/>
          <w:b/>
          <w:bCs/>
          <w:sz w:val="24"/>
          <w:szCs w:val="24"/>
          <w:lang w:val="es-CO"/>
        </w:rPr>
        <w:t>RTA:</w:t>
      </w:r>
    </w:p>
    <w:p w14:paraId="534B627C" w14:textId="77777777" w:rsidR="00F603B8" w:rsidRDefault="00F603B8" w:rsidP="00F603B8">
      <w:pPr>
        <w:pStyle w:val="ListBullet"/>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El índice tiene un carácter multisectorial y global, al integrar compañías líderes de</w:t>
      </w:r>
    </w:p>
    <w:p w14:paraId="10C5927B" w14:textId="77777777" w:rsidR="00F603B8" w:rsidRDefault="00F603B8" w:rsidP="00F603B8">
      <w:pPr>
        <w:pStyle w:val="ListBullet"/>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América, Europa y Asia junto con el S&amp;P 500 como referencia. Combina sectores</w:t>
      </w:r>
    </w:p>
    <w:p w14:paraId="0C306EE7" w14:textId="77777777" w:rsidR="00F603B8" w:rsidRDefault="00F603B8" w:rsidP="00F603B8">
      <w:pPr>
        <w:pStyle w:val="ListBullet"/>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estratégicos como la tecnología (Apple, Microsoft, Samsung), energía (ExxonMobil),</w:t>
      </w:r>
    </w:p>
    <w:p w14:paraId="61C4FB45" w14:textId="77777777" w:rsidR="00F603B8" w:rsidRDefault="00F603B8" w:rsidP="00F603B8">
      <w:pPr>
        <w:pStyle w:val="ListBullet"/>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industria e infraestructura (Siemens), consumo masivo (Nestlé), bienes de lujo (LVMH),</w:t>
      </w:r>
    </w:p>
    <w:p w14:paraId="4ED41078" w14:textId="77777777" w:rsidR="00F603B8" w:rsidRDefault="00F603B8" w:rsidP="00F603B8">
      <w:pPr>
        <w:pStyle w:val="ListBullet"/>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automotriz y movilidad (Toyota) y comercio electrónico (Alibaba), permitiendo reflejar</w:t>
      </w:r>
    </w:p>
    <w:p w14:paraId="245ECF17" w14:textId="77777777" w:rsidR="00F603B8" w:rsidRDefault="00F603B8" w:rsidP="00F603B8">
      <w:pPr>
        <w:pStyle w:val="ListBullet"/>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la evolución de la economía mundial y brindar una visión diversificada del desempeño</w:t>
      </w:r>
    </w:p>
    <w:p w14:paraId="66E30E64" w14:textId="6CEEE89D" w:rsidR="00F603B8" w:rsidRPr="00F603B8" w:rsidRDefault="00F603B8" w:rsidP="00F603B8">
      <w:pPr>
        <w:pStyle w:val="ListBullet"/>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global.</w:t>
      </w:r>
    </w:p>
    <w:p w14:paraId="2D6247EE" w14:textId="77777777" w:rsidR="00F603B8" w:rsidRDefault="00416B3A" w:rsidP="00416B3A">
      <w:pPr>
        <w:pStyle w:val="ListBullet"/>
        <w:numPr>
          <w:ilvl w:val="1"/>
          <w:numId w:val="11"/>
        </w:numPr>
        <w:rPr>
          <w:rFonts w:asciiTheme="majorHAnsi" w:hAnsiTheme="majorHAnsi" w:cstheme="majorHAnsi"/>
          <w:sz w:val="24"/>
          <w:szCs w:val="24"/>
          <w:lang w:val="es-CO"/>
        </w:rPr>
      </w:pPr>
      <w:r>
        <w:rPr>
          <w:rFonts w:asciiTheme="majorHAnsi" w:hAnsiTheme="majorHAnsi" w:cstheme="majorHAnsi"/>
          <w:sz w:val="24"/>
          <w:szCs w:val="24"/>
          <w:lang w:val="es-CO"/>
        </w:rPr>
        <w:t xml:space="preserve">Hacer un gráfico de cajas bigotes para cada </w:t>
      </w:r>
      <w:proofErr w:type="spellStart"/>
      <w:r>
        <w:rPr>
          <w:rFonts w:asciiTheme="majorHAnsi" w:hAnsiTheme="majorHAnsi" w:cstheme="majorHAnsi"/>
          <w:sz w:val="24"/>
          <w:szCs w:val="24"/>
          <w:lang w:val="es-CO"/>
        </w:rPr>
        <w:t>security</w:t>
      </w:r>
      <w:proofErr w:type="spellEnd"/>
      <w:r>
        <w:rPr>
          <w:rFonts w:asciiTheme="majorHAnsi" w:hAnsiTheme="majorHAnsi" w:cstheme="majorHAnsi"/>
          <w:sz w:val="24"/>
          <w:szCs w:val="24"/>
          <w:lang w:val="es-CO"/>
        </w:rPr>
        <w:t>, mostrando los valores atípicos</w:t>
      </w:r>
      <w:r w:rsidR="009118C5">
        <w:rPr>
          <w:rFonts w:asciiTheme="majorHAnsi" w:hAnsiTheme="majorHAnsi" w:cstheme="majorHAnsi"/>
          <w:sz w:val="24"/>
          <w:szCs w:val="24"/>
          <w:lang w:val="es-CO"/>
        </w:rPr>
        <w:t>.</w:t>
      </w:r>
      <w:r w:rsidR="00F603B8" w:rsidRPr="00F603B8">
        <w:rPr>
          <w:rFonts w:asciiTheme="majorHAnsi" w:hAnsiTheme="majorHAnsi" w:cstheme="majorHAnsi"/>
          <w:noProof/>
          <w:sz w:val="24"/>
          <w:szCs w:val="24"/>
          <w:lang w:val="es-CO"/>
        </w:rPr>
        <w:t xml:space="preserve"> </w:t>
      </w:r>
    </w:p>
    <w:p w14:paraId="1DB94716" w14:textId="08B5469A" w:rsidR="00416B3A" w:rsidRDefault="00F603B8" w:rsidP="00F603B8">
      <w:pPr>
        <w:pStyle w:val="ListBullet"/>
        <w:numPr>
          <w:ilvl w:val="0"/>
          <w:numId w:val="0"/>
        </w:numPr>
        <w:ind w:left="360" w:hanging="360"/>
        <w:rPr>
          <w:rFonts w:asciiTheme="majorHAnsi" w:hAnsiTheme="majorHAnsi" w:cstheme="majorHAnsi"/>
          <w:sz w:val="24"/>
          <w:szCs w:val="24"/>
          <w:lang w:val="es-CO"/>
        </w:rPr>
      </w:pPr>
      <w:r>
        <w:rPr>
          <w:rFonts w:asciiTheme="majorHAnsi" w:hAnsiTheme="majorHAnsi" w:cstheme="majorHAnsi"/>
          <w:noProof/>
          <w:sz w:val="24"/>
          <w:szCs w:val="24"/>
          <w:lang w:val="es-CO"/>
        </w:rPr>
        <w:lastRenderedPageBreak/>
        <w:drawing>
          <wp:inline distT="0" distB="0" distL="0" distR="0" wp14:anchorId="1DF8B6C7" wp14:editId="6988B287">
            <wp:extent cx="5481320" cy="3175000"/>
            <wp:effectExtent l="0" t="0" r="5080" b="6350"/>
            <wp:docPr id="111563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320" cy="3175000"/>
                    </a:xfrm>
                    <a:prstGeom prst="rect">
                      <a:avLst/>
                    </a:prstGeom>
                    <a:noFill/>
                    <a:ln>
                      <a:noFill/>
                    </a:ln>
                  </pic:spPr>
                </pic:pic>
              </a:graphicData>
            </a:graphic>
          </wp:inline>
        </w:drawing>
      </w:r>
    </w:p>
    <w:p w14:paraId="56E565AA" w14:textId="2302D129" w:rsidR="00F603B8" w:rsidRDefault="00416B3A" w:rsidP="00F603B8">
      <w:pPr>
        <w:pStyle w:val="ListBullet"/>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Construye tablas con promedio por Región y Año (20</w:t>
      </w:r>
      <w:r>
        <w:rPr>
          <w:rFonts w:asciiTheme="majorHAnsi" w:hAnsiTheme="majorHAnsi" w:cstheme="majorHAnsi"/>
          <w:sz w:val="24"/>
          <w:szCs w:val="24"/>
          <w:lang w:val="es-CO"/>
        </w:rPr>
        <w:t>1</w:t>
      </w:r>
      <w:r w:rsidR="00573A27">
        <w:rPr>
          <w:rFonts w:asciiTheme="majorHAnsi" w:hAnsiTheme="majorHAnsi" w:cstheme="majorHAnsi"/>
          <w:sz w:val="24"/>
          <w:szCs w:val="24"/>
          <w:lang w:val="es-CO"/>
        </w:rPr>
        <w:t>4</w:t>
      </w:r>
      <w:r w:rsidRPr="005709EB">
        <w:rPr>
          <w:rFonts w:asciiTheme="majorHAnsi" w:hAnsiTheme="majorHAnsi" w:cstheme="majorHAnsi"/>
          <w:sz w:val="24"/>
          <w:szCs w:val="24"/>
          <w:lang w:val="es-CO"/>
        </w:rPr>
        <w:t>–20</w:t>
      </w:r>
      <w:r>
        <w:rPr>
          <w:rFonts w:asciiTheme="majorHAnsi" w:hAnsiTheme="majorHAnsi" w:cstheme="majorHAnsi"/>
          <w:sz w:val="24"/>
          <w:szCs w:val="24"/>
          <w:lang w:val="es-CO"/>
        </w:rPr>
        <w:t>2</w:t>
      </w:r>
      <w:r w:rsidR="00573A27">
        <w:rPr>
          <w:rFonts w:asciiTheme="majorHAnsi" w:hAnsiTheme="majorHAnsi" w:cstheme="majorHAnsi"/>
          <w:sz w:val="24"/>
          <w:szCs w:val="24"/>
          <w:lang w:val="es-CO"/>
        </w:rPr>
        <w:t>4</w:t>
      </w:r>
      <w:r w:rsidRPr="005709EB">
        <w:rPr>
          <w:rFonts w:asciiTheme="majorHAnsi" w:hAnsiTheme="majorHAnsi" w:cstheme="majorHAnsi"/>
          <w:sz w:val="24"/>
          <w:szCs w:val="24"/>
          <w:lang w:val="es-CO"/>
        </w:rPr>
        <w:t>)</w:t>
      </w:r>
    </w:p>
    <w:p w14:paraId="3D5E60FF" w14:textId="48C4C943" w:rsidR="00F603B8" w:rsidRDefault="00F603B8" w:rsidP="00F603B8">
      <w:pPr>
        <w:pStyle w:val="ListBullet"/>
        <w:numPr>
          <w:ilvl w:val="0"/>
          <w:numId w:val="0"/>
        </w:numPr>
        <w:ind w:left="360" w:hanging="360"/>
        <w:rPr>
          <w:rFonts w:asciiTheme="majorHAnsi" w:hAnsiTheme="majorHAnsi" w:cstheme="majorHAnsi"/>
          <w:b/>
          <w:bCs/>
          <w:sz w:val="24"/>
          <w:szCs w:val="24"/>
          <w:lang w:val="es-CO"/>
        </w:rPr>
      </w:pPr>
      <w:r w:rsidRPr="00F603B8">
        <w:rPr>
          <w:rFonts w:asciiTheme="majorHAnsi" w:hAnsiTheme="majorHAnsi" w:cstheme="majorHAnsi"/>
          <w:b/>
          <w:bCs/>
          <w:sz w:val="24"/>
          <w:szCs w:val="24"/>
          <w:lang w:val="es-CO"/>
        </w:rPr>
        <w:t>RTA:</w:t>
      </w:r>
    </w:p>
    <w:p w14:paraId="3D033A47" w14:textId="233A3740" w:rsidR="00F603B8" w:rsidRPr="00F603B8" w:rsidRDefault="00A5620F" w:rsidP="00F603B8">
      <w:pPr>
        <w:pStyle w:val="ListBullet"/>
        <w:numPr>
          <w:ilvl w:val="0"/>
          <w:numId w:val="0"/>
        </w:numPr>
        <w:ind w:left="360" w:hanging="360"/>
        <w:rPr>
          <w:rFonts w:asciiTheme="majorHAnsi" w:hAnsiTheme="majorHAnsi" w:cstheme="majorHAnsi"/>
          <w:b/>
          <w:bCs/>
          <w:sz w:val="24"/>
          <w:szCs w:val="24"/>
          <w:lang w:val="es-CO"/>
        </w:rPr>
      </w:pPr>
      <w:r w:rsidRPr="00A5620F">
        <w:rPr>
          <w:rFonts w:asciiTheme="majorHAnsi" w:hAnsiTheme="majorHAnsi" w:cstheme="majorHAnsi"/>
          <w:b/>
          <w:bCs/>
          <w:noProof/>
          <w:sz w:val="24"/>
          <w:szCs w:val="24"/>
          <w:lang w:val="es-CO"/>
        </w:rPr>
        <w:drawing>
          <wp:inline distT="0" distB="0" distL="0" distR="0" wp14:anchorId="0B66626D" wp14:editId="75AC133C">
            <wp:extent cx="5486400" cy="2839085"/>
            <wp:effectExtent l="0" t="0" r="0" b="0"/>
            <wp:docPr id="169085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54760" name=""/>
                    <pic:cNvPicPr/>
                  </pic:nvPicPr>
                  <pic:blipFill>
                    <a:blip r:embed="rId8"/>
                    <a:stretch>
                      <a:fillRect/>
                    </a:stretch>
                  </pic:blipFill>
                  <pic:spPr>
                    <a:xfrm>
                      <a:off x="0" y="0"/>
                      <a:ext cx="5486400" cy="2839085"/>
                    </a:xfrm>
                    <a:prstGeom prst="rect">
                      <a:avLst/>
                    </a:prstGeom>
                  </pic:spPr>
                </pic:pic>
              </a:graphicData>
            </a:graphic>
          </wp:inline>
        </w:drawing>
      </w:r>
    </w:p>
    <w:p w14:paraId="0F8E6090" w14:textId="15A15C39" w:rsidR="00416B3A" w:rsidRDefault="00416B3A" w:rsidP="00416B3A">
      <w:pPr>
        <w:pStyle w:val="ListBullet"/>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Haz un gráfico de línea con los promedios por año y comenta patrones</w:t>
      </w:r>
    </w:p>
    <w:p w14:paraId="3095020A" w14:textId="62C3FD46" w:rsidR="00A5620F" w:rsidRDefault="00A5620F" w:rsidP="00A5620F">
      <w:pPr>
        <w:pStyle w:val="ListBullet"/>
        <w:numPr>
          <w:ilvl w:val="0"/>
          <w:numId w:val="0"/>
        </w:numPr>
        <w:ind w:left="360" w:hanging="360"/>
        <w:rPr>
          <w:rFonts w:asciiTheme="majorHAnsi" w:hAnsiTheme="majorHAnsi" w:cstheme="majorHAnsi"/>
          <w:b/>
          <w:bCs/>
          <w:sz w:val="24"/>
          <w:szCs w:val="24"/>
          <w:lang w:val="es-CO"/>
        </w:rPr>
      </w:pPr>
      <w:r w:rsidRPr="00A5620F">
        <w:rPr>
          <w:rFonts w:asciiTheme="majorHAnsi" w:hAnsiTheme="majorHAnsi" w:cstheme="majorHAnsi"/>
          <w:b/>
          <w:bCs/>
          <w:sz w:val="24"/>
          <w:szCs w:val="24"/>
          <w:lang w:val="es-CO"/>
        </w:rPr>
        <w:t>RTA:</w:t>
      </w:r>
    </w:p>
    <w:p w14:paraId="6F286F0E" w14:textId="54FEED76" w:rsidR="00A5620F" w:rsidRPr="00A5620F" w:rsidRDefault="00A5620F" w:rsidP="00A5620F">
      <w:pPr>
        <w:pStyle w:val="ListBullet"/>
        <w:numPr>
          <w:ilvl w:val="0"/>
          <w:numId w:val="0"/>
        </w:numPr>
        <w:ind w:left="360" w:hanging="360"/>
        <w:rPr>
          <w:rFonts w:asciiTheme="majorHAnsi" w:hAnsiTheme="majorHAnsi" w:cstheme="majorHAnsi"/>
          <w:b/>
          <w:bCs/>
          <w:sz w:val="24"/>
          <w:szCs w:val="24"/>
          <w:lang w:val="es-CO"/>
        </w:rPr>
      </w:pPr>
      <w:r w:rsidRPr="00A5620F">
        <w:rPr>
          <w:rFonts w:asciiTheme="majorHAnsi" w:hAnsiTheme="majorHAnsi" w:cstheme="majorHAnsi"/>
          <w:b/>
          <w:bCs/>
          <w:noProof/>
          <w:sz w:val="24"/>
          <w:szCs w:val="24"/>
          <w:lang w:val="es-CO"/>
        </w:rPr>
        <w:lastRenderedPageBreak/>
        <w:drawing>
          <wp:inline distT="0" distB="0" distL="0" distR="0" wp14:anchorId="52E8A3F4" wp14:editId="41E7F3CA">
            <wp:extent cx="5486400" cy="3124835"/>
            <wp:effectExtent l="0" t="0" r="0" b="0"/>
            <wp:docPr id="95578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87506" name=""/>
                    <pic:cNvPicPr/>
                  </pic:nvPicPr>
                  <pic:blipFill>
                    <a:blip r:embed="rId9"/>
                    <a:stretch>
                      <a:fillRect/>
                    </a:stretch>
                  </pic:blipFill>
                  <pic:spPr>
                    <a:xfrm>
                      <a:off x="0" y="0"/>
                      <a:ext cx="5486400" cy="3124835"/>
                    </a:xfrm>
                    <a:prstGeom prst="rect">
                      <a:avLst/>
                    </a:prstGeom>
                  </pic:spPr>
                </pic:pic>
              </a:graphicData>
            </a:graphic>
          </wp:inline>
        </w:drawing>
      </w:r>
    </w:p>
    <w:p w14:paraId="2C36DEC3" w14:textId="2F033CA1" w:rsidR="00416B3A" w:rsidRPr="00F603B8" w:rsidRDefault="00573A27" w:rsidP="00573A27">
      <w:pPr>
        <w:pStyle w:val="ListBullet"/>
        <w:numPr>
          <w:ilvl w:val="0"/>
          <w:numId w:val="11"/>
        </w:numPr>
        <w:rPr>
          <w:rFonts w:asciiTheme="majorHAnsi" w:hAnsiTheme="majorHAnsi" w:cstheme="majorHAnsi"/>
          <w:sz w:val="24"/>
          <w:szCs w:val="24"/>
          <w:lang w:val="es-CO"/>
        </w:rPr>
      </w:pPr>
      <w:r>
        <w:rPr>
          <w:rFonts w:asciiTheme="majorHAnsi" w:hAnsiTheme="majorHAnsi" w:cstheme="majorHAnsi"/>
          <w:sz w:val="24"/>
          <w:szCs w:val="24"/>
          <w:lang w:val="es-CO"/>
        </w:rPr>
        <w:t xml:space="preserve">Construyamos el índice. </w:t>
      </w:r>
      <w:r w:rsidR="00416B3A" w:rsidRPr="005709EB">
        <w:rPr>
          <w:rFonts w:asciiTheme="majorHAnsi" w:hAnsiTheme="majorHAnsi" w:cstheme="majorHAnsi"/>
          <w:sz w:val="24"/>
          <w:szCs w:val="24"/>
          <w:lang w:val="es-CO"/>
        </w:rPr>
        <w:t>Para cada región y 20</w:t>
      </w:r>
      <w:r w:rsidR="00416B3A">
        <w:rPr>
          <w:rFonts w:asciiTheme="majorHAnsi" w:hAnsiTheme="majorHAnsi" w:cstheme="majorHAnsi"/>
          <w:sz w:val="24"/>
          <w:szCs w:val="24"/>
          <w:lang w:val="es-CO"/>
        </w:rPr>
        <w:t>15</w:t>
      </w:r>
      <w:r w:rsidR="00416B3A" w:rsidRPr="005709EB">
        <w:rPr>
          <w:rFonts w:asciiTheme="majorHAnsi" w:hAnsiTheme="majorHAnsi" w:cstheme="majorHAnsi"/>
          <w:sz w:val="24"/>
          <w:szCs w:val="24"/>
          <w:lang w:val="es-CO"/>
        </w:rPr>
        <w:t>–20</w:t>
      </w:r>
      <w:r w:rsidR="00416B3A">
        <w:rPr>
          <w:rFonts w:asciiTheme="majorHAnsi" w:hAnsiTheme="majorHAnsi" w:cstheme="majorHAnsi"/>
          <w:sz w:val="24"/>
          <w:szCs w:val="24"/>
          <w:lang w:val="es-CO"/>
        </w:rPr>
        <w:t>25</w:t>
      </w:r>
      <w:r w:rsidR="00416B3A" w:rsidRPr="005709EB">
        <w:rPr>
          <w:rFonts w:asciiTheme="majorHAnsi" w:hAnsiTheme="majorHAnsi" w:cstheme="majorHAnsi"/>
          <w:sz w:val="24"/>
          <w:szCs w:val="24"/>
          <w:lang w:val="es-CO"/>
        </w:rPr>
        <w:t xml:space="preserve">: </w:t>
      </w:r>
    </w:p>
    <w:p w14:paraId="703DB913" w14:textId="4C9141DB" w:rsidR="00573A27" w:rsidRPr="00B7058F" w:rsidRDefault="00416B3A" w:rsidP="006527C9">
      <w:pPr>
        <w:pStyle w:val="ListBullet"/>
        <w:numPr>
          <w:ilvl w:val="1"/>
          <w:numId w:val="11"/>
        </w:numPr>
        <w:tabs>
          <w:tab w:val="num" w:pos="1440"/>
        </w:tabs>
        <w:rPr>
          <w:rFonts w:asciiTheme="majorHAnsi" w:hAnsiTheme="majorHAnsi" w:cstheme="majorHAnsi"/>
          <w:sz w:val="24"/>
          <w:szCs w:val="24"/>
          <w:lang w:val="es-CO"/>
        </w:rPr>
      </w:pPr>
      <w:r w:rsidRPr="00B7058F">
        <w:rPr>
          <w:rFonts w:asciiTheme="majorHAnsi" w:hAnsiTheme="majorHAnsi" w:cstheme="majorHAnsi"/>
          <w:sz w:val="24"/>
          <w:szCs w:val="24"/>
          <w:lang w:val="es-CO"/>
        </w:rPr>
        <w:t>Crea</w:t>
      </w:r>
      <w:r w:rsidR="00B7058F" w:rsidRPr="00B7058F">
        <w:rPr>
          <w:rFonts w:asciiTheme="majorHAnsi" w:hAnsiTheme="majorHAnsi" w:cstheme="majorHAnsi"/>
          <w:sz w:val="24"/>
          <w:szCs w:val="24"/>
          <w:lang w:val="es-CO"/>
        </w:rPr>
        <w:t>r</w:t>
      </w:r>
      <w:r w:rsidRPr="00B7058F">
        <w:rPr>
          <w:rFonts w:asciiTheme="majorHAnsi" w:hAnsiTheme="majorHAnsi" w:cstheme="majorHAnsi"/>
          <w:sz w:val="24"/>
          <w:szCs w:val="24"/>
          <w:lang w:val="es-CO"/>
        </w:rPr>
        <w:t xml:space="preserve"> </w:t>
      </w:r>
      <w:r w:rsidR="00573A27" w:rsidRPr="00B7058F">
        <w:rPr>
          <w:rFonts w:asciiTheme="majorHAnsi" w:hAnsiTheme="majorHAnsi" w:cstheme="majorHAnsi"/>
          <w:sz w:val="24"/>
          <w:szCs w:val="24"/>
          <w:lang w:val="es-CO"/>
        </w:rPr>
        <w:t>pesos según el volumen de transacciones inicial</w:t>
      </w:r>
      <w:r w:rsidRPr="00B7058F">
        <w:rPr>
          <w:rFonts w:asciiTheme="majorHAnsi" w:hAnsiTheme="majorHAnsi" w:cstheme="majorHAnsi"/>
          <w:sz w:val="24"/>
          <w:szCs w:val="24"/>
          <w:lang w:val="es-CO"/>
        </w:rPr>
        <w:t xml:space="preserve"> (en 2015) sobre el total </w:t>
      </w:r>
      <w:r w:rsidR="00573A27" w:rsidRPr="00B7058F">
        <w:rPr>
          <w:rFonts w:asciiTheme="majorHAnsi" w:hAnsiTheme="majorHAnsi" w:cstheme="majorHAnsi"/>
          <w:sz w:val="24"/>
          <w:szCs w:val="24"/>
          <w:lang w:val="es-CO"/>
        </w:rPr>
        <w:t>del índice</w:t>
      </w:r>
      <w:r w:rsidRPr="00B7058F">
        <w:rPr>
          <w:rFonts w:asciiTheme="majorHAnsi" w:hAnsiTheme="majorHAnsi" w:cstheme="majorHAnsi"/>
          <w:sz w:val="24"/>
          <w:szCs w:val="24"/>
          <w:lang w:val="es-CO"/>
        </w:rPr>
        <w:t xml:space="preserve">. </w:t>
      </w:r>
      <w:r w:rsidR="00B7058F">
        <w:rPr>
          <w:rFonts w:asciiTheme="majorHAnsi" w:hAnsiTheme="majorHAnsi" w:cstheme="majorHAnsi"/>
          <w:sz w:val="24"/>
          <w:szCs w:val="24"/>
          <w:lang w:val="es-CO"/>
        </w:rPr>
        <w:t xml:space="preserve"> </w:t>
      </w:r>
      <w:r w:rsidRPr="00B7058F">
        <w:rPr>
          <w:rFonts w:asciiTheme="majorHAnsi" w:hAnsiTheme="majorHAnsi" w:cstheme="majorHAnsi"/>
          <w:sz w:val="24"/>
          <w:szCs w:val="24"/>
          <w:lang w:val="es-CO"/>
        </w:rPr>
        <w:t>Verifica</w:t>
      </w:r>
      <w:r w:rsidR="00B7058F" w:rsidRPr="00B7058F">
        <w:rPr>
          <w:rFonts w:asciiTheme="majorHAnsi" w:hAnsiTheme="majorHAnsi" w:cstheme="majorHAnsi"/>
          <w:sz w:val="24"/>
          <w:szCs w:val="24"/>
          <w:lang w:val="es-CO"/>
        </w:rPr>
        <w:t>r</w:t>
      </w:r>
      <w:r w:rsidRPr="00B7058F">
        <w:rPr>
          <w:rFonts w:asciiTheme="majorHAnsi" w:hAnsiTheme="majorHAnsi" w:cstheme="majorHAnsi"/>
          <w:sz w:val="24"/>
          <w:szCs w:val="24"/>
          <w:lang w:val="es-CO"/>
        </w:rPr>
        <w:t xml:space="preserve"> que sumen 1. </w:t>
      </w:r>
    </w:p>
    <w:p w14:paraId="7A65C9B8" w14:textId="520358FB" w:rsidR="00573A27" w:rsidRDefault="00416B3A" w:rsidP="009118C5">
      <w:pPr>
        <w:pStyle w:val="ListBullet"/>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Calcula</w:t>
      </w:r>
      <w:r w:rsidR="00B7058F">
        <w:rPr>
          <w:rFonts w:asciiTheme="majorHAnsi" w:hAnsiTheme="majorHAnsi" w:cstheme="majorHAnsi"/>
          <w:sz w:val="24"/>
          <w:szCs w:val="24"/>
          <w:lang w:val="es-CO"/>
        </w:rPr>
        <w:t>r</w:t>
      </w:r>
      <w:r w:rsidRPr="005709EB">
        <w:rPr>
          <w:rFonts w:asciiTheme="majorHAnsi" w:hAnsiTheme="majorHAnsi" w:cstheme="majorHAnsi"/>
          <w:sz w:val="24"/>
          <w:szCs w:val="24"/>
          <w:lang w:val="es-CO"/>
        </w:rPr>
        <w:t xml:space="preserve"> promedio ponderado del indicador de cuentas bancarias. </w:t>
      </w:r>
    </w:p>
    <w:p w14:paraId="39F7D4C6" w14:textId="1930A05E" w:rsidR="009118C5" w:rsidRDefault="00416B3A" w:rsidP="009118C5">
      <w:pPr>
        <w:pStyle w:val="ListBullet"/>
        <w:numPr>
          <w:ilvl w:val="1"/>
          <w:numId w:val="11"/>
        </w:numPr>
        <w:rPr>
          <w:rFonts w:asciiTheme="majorHAnsi" w:hAnsiTheme="majorHAnsi" w:cstheme="majorHAnsi"/>
          <w:sz w:val="24"/>
          <w:szCs w:val="24"/>
          <w:lang w:val="es-CO"/>
        </w:rPr>
      </w:pPr>
      <w:r w:rsidRPr="007A71B2">
        <w:rPr>
          <w:rFonts w:asciiTheme="majorHAnsi" w:hAnsiTheme="majorHAnsi" w:cstheme="majorHAnsi"/>
          <w:sz w:val="24"/>
          <w:szCs w:val="24"/>
          <w:lang w:val="es-CO"/>
        </w:rPr>
        <w:t>Compara</w:t>
      </w:r>
      <w:r w:rsidR="00B7058F">
        <w:rPr>
          <w:rFonts w:asciiTheme="majorHAnsi" w:hAnsiTheme="majorHAnsi" w:cstheme="majorHAnsi"/>
          <w:sz w:val="24"/>
          <w:szCs w:val="24"/>
          <w:lang w:val="es-CO"/>
        </w:rPr>
        <w:t>r</w:t>
      </w:r>
      <w:r w:rsidRPr="007A71B2">
        <w:rPr>
          <w:rFonts w:asciiTheme="majorHAnsi" w:hAnsiTheme="majorHAnsi" w:cstheme="majorHAnsi"/>
          <w:sz w:val="24"/>
          <w:szCs w:val="24"/>
          <w:lang w:val="es-CO"/>
        </w:rPr>
        <w:t xml:space="preserve"> con promedios simples.</w:t>
      </w:r>
      <w:r w:rsidR="00B7058F">
        <w:rPr>
          <w:rFonts w:asciiTheme="majorHAnsi" w:hAnsiTheme="majorHAnsi" w:cstheme="majorHAnsi"/>
          <w:sz w:val="24"/>
          <w:szCs w:val="24"/>
          <w:lang w:val="es-CO"/>
        </w:rPr>
        <w:t xml:space="preserve"> ¿Hay diferencias?, ¿por qué?</w:t>
      </w:r>
    </w:p>
    <w:p w14:paraId="282318E9" w14:textId="77777777" w:rsidR="00F5692D" w:rsidRDefault="00F5692D" w:rsidP="00F5692D">
      <w:pPr>
        <w:pStyle w:val="ListBullet"/>
        <w:numPr>
          <w:ilvl w:val="0"/>
          <w:numId w:val="0"/>
        </w:numPr>
        <w:ind w:left="720"/>
        <w:rPr>
          <w:lang w:val="es-CO"/>
        </w:rPr>
      </w:pPr>
      <w:r>
        <w:rPr>
          <w:rFonts w:asciiTheme="majorHAnsi" w:hAnsiTheme="majorHAnsi" w:cstheme="majorHAnsi"/>
          <w:b/>
          <w:bCs/>
          <w:sz w:val="24"/>
          <w:szCs w:val="24"/>
          <w:lang w:val="es-CO"/>
        </w:rPr>
        <w:t>RTA:</w:t>
      </w:r>
      <w:r w:rsidRPr="00F5692D">
        <w:rPr>
          <w:lang w:val="es-CO"/>
        </w:rPr>
        <w:t xml:space="preserve"> </w:t>
      </w:r>
    </w:p>
    <w:p w14:paraId="29C4048C" w14:textId="2AA82E24" w:rsidR="00F5692D" w:rsidRPr="00F5692D" w:rsidRDefault="00F5692D" w:rsidP="00F5692D">
      <w:pPr>
        <w:pStyle w:val="ListBullet"/>
        <w:numPr>
          <w:ilvl w:val="0"/>
          <w:numId w:val="0"/>
        </w:numPr>
        <w:ind w:left="360" w:hanging="360"/>
        <w:rPr>
          <w:lang w:val="es-CO"/>
        </w:rPr>
      </w:pPr>
      <w:r w:rsidRPr="00F5692D">
        <w:rPr>
          <w:lang w:val="es-CO"/>
        </w:rPr>
        <w:t xml:space="preserve">Usando el 01/01/2014 como ejemplo, </w:t>
      </w:r>
    </w:p>
    <w:p w14:paraId="79886F69" w14:textId="0F688751" w:rsidR="00F5692D" w:rsidRPr="00F5692D" w:rsidRDefault="00F5692D" w:rsidP="00F5692D">
      <w:pPr>
        <w:pStyle w:val="ListBullet"/>
        <w:ind w:left="720"/>
        <w:rPr>
          <w:lang w:val="es-CO"/>
        </w:rPr>
      </w:pPr>
      <w:r w:rsidRPr="00F5692D">
        <w:rPr>
          <w:lang w:val="es-CO"/>
        </w:rPr>
        <w:t xml:space="preserve">USA: Ponderado = 178,263,327 vs. Simple = 99,119,634 </w:t>
      </w:r>
      <w:r w:rsidRPr="00F5692D">
        <w:rPr>
          <w:rFonts w:hint="eastAsia"/>
          <w:lang w:val="es-CO"/>
        </w:rPr>
        <w:t>→</w:t>
      </w:r>
      <w:r w:rsidRPr="00F5692D">
        <w:rPr>
          <w:lang w:val="es-CO"/>
        </w:rPr>
        <w:t xml:space="preserve"> ≈ +80%</w:t>
      </w:r>
    </w:p>
    <w:p w14:paraId="022718B8" w14:textId="77777777" w:rsidR="00F5692D" w:rsidRPr="00F5692D" w:rsidRDefault="00F5692D" w:rsidP="00F5692D">
      <w:pPr>
        <w:pStyle w:val="ListBullet"/>
        <w:ind w:left="720"/>
        <w:rPr>
          <w:lang w:val="es-CO"/>
        </w:rPr>
      </w:pPr>
      <w:r w:rsidRPr="00F5692D">
        <w:rPr>
          <w:lang w:val="es-CO"/>
        </w:rPr>
        <w:t xml:space="preserve">Europa: Ponderado = 4,212,637 vs. Simple = 2,943,880 </w:t>
      </w:r>
      <w:r w:rsidRPr="00F5692D">
        <w:rPr>
          <w:rFonts w:hint="eastAsia"/>
          <w:lang w:val="es-CO"/>
        </w:rPr>
        <w:t>→</w:t>
      </w:r>
      <w:r w:rsidRPr="00F5692D">
        <w:rPr>
          <w:lang w:val="es-CO"/>
        </w:rPr>
        <w:t xml:space="preserve"> ≈ +43%</w:t>
      </w:r>
    </w:p>
    <w:p w14:paraId="666A37A2" w14:textId="659D0316" w:rsidR="00F5692D" w:rsidRDefault="00F5692D" w:rsidP="00F5692D">
      <w:pPr>
        <w:pStyle w:val="ListBullet"/>
        <w:ind w:left="720"/>
        <w:rPr>
          <w:lang w:val="es-CO"/>
        </w:rPr>
      </w:pPr>
      <w:r w:rsidRPr="00F5692D">
        <w:rPr>
          <w:lang w:val="es-CO"/>
        </w:rPr>
        <w:t xml:space="preserve">Asia: Ponderado = 61,571,083 vs. Simple = 55,607,193 </w:t>
      </w:r>
      <w:r w:rsidRPr="00F5692D">
        <w:rPr>
          <w:rFonts w:hint="eastAsia"/>
          <w:lang w:val="es-CO"/>
        </w:rPr>
        <w:t>→</w:t>
      </w:r>
      <w:r w:rsidRPr="00F5692D">
        <w:rPr>
          <w:lang w:val="es-CO"/>
        </w:rPr>
        <w:t xml:space="preserve"> ≈ +11%</w:t>
      </w:r>
    </w:p>
    <w:p w14:paraId="23D89D9A" w14:textId="4030B882" w:rsidR="00F5692D" w:rsidRDefault="00F5692D" w:rsidP="00F5692D">
      <w:pPr>
        <w:pStyle w:val="ListBullet"/>
        <w:numPr>
          <w:ilvl w:val="0"/>
          <w:numId w:val="0"/>
        </w:numPr>
        <w:ind w:left="360"/>
        <w:rPr>
          <w:rFonts w:asciiTheme="majorHAnsi" w:hAnsiTheme="majorHAnsi" w:cstheme="majorHAnsi"/>
          <w:sz w:val="24"/>
          <w:szCs w:val="24"/>
          <w:lang w:val="es-CO"/>
        </w:rPr>
      </w:pPr>
      <w:r w:rsidRPr="00F5692D">
        <w:rPr>
          <w:rFonts w:asciiTheme="majorHAnsi" w:hAnsiTheme="majorHAnsi" w:cstheme="majorHAnsi"/>
          <w:sz w:val="24"/>
          <w:szCs w:val="24"/>
          <w:lang w:val="es-CO"/>
        </w:rPr>
        <w:t>Sí, hay diferencias. El ponderado refleja la estructura de mercado (más peso a quienes mueven más volumen en 2014), mientras que el simple reparte por igual. Cuanto más concentrada esté la región en pocas acciones de gran volumen, más grande será la brecha entre ambos.</w:t>
      </w:r>
    </w:p>
    <w:p w14:paraId="062F12D6" w14:textId="77777777" w:rsidR="00F5692D" w:rsidRDefault="00F5692D" w:rsidP="00F5692D">
      <w:pPr>
        <w:pStyle w:val="ListBullet"/>
        <w:numPr>
          <w:ilvl w:val="0"/>
          <w:numId w:val="0"/>
        </w:numPr>
        <w:ind w:left="360"/>
        <w:rPr>
          <w:rFonts w:asciiTheme="majorHAnsi" w:hAnsiTheme="majorHAnsi" w:cstheme="majorHAnsi"/>
          <w:sz w:val="24"/>
          <w:szCs w:val="24"/>
          <w:lang w:val="es-CO"/>
        </w:rPr>
      </w:pPr>
    </w:p>
    <w:p w14:paraId="2A5157F2" w14:textId="77777777" w:rsidR="00F5692D" w:rsidRDefault="00F5692D" w:rsidP="00F5692D">
      <w:pPr>
        <w:pStyle w:val="ListBullet"/>
        <w:numPr>
          <w:ilvl w:val="0"/>
          <w:numId w:val="0"/>
        </w:numPr>
        <w:ind w:left="360"/>
        <w:rPr>
          <w:rFonts w:asciiTheme="majorHAnsi" w:hAnsiTheme="majorHAnsi" w:cstheme="majorHAnsi"/>
          <w:sz w:val="24"/>
          <w:szCs w:val="24"/>
          <w:lang w:val="es-CO"/>
        </w:rPr>
      </w:pPr>
    </w:p>
    <w:p w14:paraId="754DE275" w14:textId="77777777" w:rsidR="00F5692D" w:rsidRPr="00F5692D" w:rsidRDefault="00F5692D" w:rsidP="00F5692D">
      <w:pPr>
        <w:pStyle w:val="ListBullet"/>
        <w:numPr>
          <w:ilvl w:val="0"/>
          <w:numId w:val="0"/>
        </w:numPr>
        <w:ind w:left="360"/>
        <w:rPr>
          <w:rFonts w:asciiTheme="majorHAnsi" w:hAnsiTheme="majorHAnsi" w:cstheme="majorHAnsi"/>
          <w:sz w:val="24"/>
          <w:szCs w:val="24"/>
          <w:lang w:val="es-CO"/>
        </w:rPr>
      </w:pPr>
    </w:p>
    <w:p w14:paraId="3A537BEC" w14:textId="253C0B69" w:rsidR="00573A27" w:rsidRPr="00573A27" w:rsidRDefault="00573A27" w:rsidP="00573A27">
      <w:pPr>
        <w:pStyle w:val="ListBullet"/>
        <w:numPr>
          <w:ilvl w:val="0"/>
          <w:numId w:val="11"/>
        </w:numPr>
        <w:rPr>
          <w:rFonts w:asciiTheme="majorHAnsi" w:hAnsiTheme="majorHAnsi" w:cstheme="majorHAnsi"/>
          <w:sz w:val="24"/>
          <w:szCs w:val="24"/>
          <w:lang w:val="es-CO"/>
        </w:rPr>
      </w:pPr>
      <w:r>
        <w:rPr>
          <w:rFonts w:asciiTheme="majorHAnsi" w:hAnsiTheme="majorHAnsi" w:cstheme="majorHAnsi"/>
          <w:sz w:val="24"/>
          <w:szCs w:val="24"/>
          <w:lang w:val="es-CO"/>
        </w:rPr>
        <w:t xml:space="preserve">Mundo antes y después del COVID. </w:t>
      </w:r>
      <w:r w:rsidRPr="00573A27">
        <w:rPr>
          <w:rFonts w:asciiTheme="majorHAnsi" w:hAnsiTheme="majorHAnsi" w:cstheme="majorHAnsi"/>
          <w:sz w:val="24"/>
          <w:szCs w:val="24"/>
          <w:lang w:val="es-CO"/>
        </w:rPr>
        <w:t xml:space="preserve">Para 2014 y 2024: </w:t>
      </w:r>
    </w:p>
    <w:p w14:paraId="2FC5D471" w14:textId="6E65DDE8" w:rsidR="00573A27" w:rsidRDefault="00573A27" w:rsidP="00573A27">
      <w:pPr>
        <w:pStyle w:val="ListBullet"/>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 xml:space="preserve">Tablas dinámicas con promedios por región/ingreso y año. </w:t>
      </w:r>
    </w:p>
    <w:p w14:paraId="18066B29" w14:textId="21D8C915" w:rsidR="007B273E" w:rsidRPr="007B273E" w:rsidRDefault="007B273E" w:rsidP="007B273E">
      <w:pPr>
        <w:pStyle w:val="ListBullet"/>
        <w:numPr>
          <w:ilvl w:val="0"/>
          <w:numId w:val="0"/>
        </w:numPr>
        <w:ind w:left="360" w:hanging="360"/>
        <w:rPr>
          <w:rFonts w:asciiTheme="majorHAnsi" w:hAnsiTheme="majorHAnsi" w:cstheme="majorHAnsi"/>
          <w:b/>
          <w:bCs/>
          <w:sz w:val="24"/>
          <w:szCs w:val="24"/>
          <w:lang w:val="es-CO"/>
        </w:rPr>
      </w:pPr>
      <w:r w:rsidRPr="007B273E">
        <w:rPr>
          <w:rFonts w:asciiTheme="majorHAnsi" w:hAnsiTheme="majorHAnsi" w:cstheme="majorHAnsi"/>
          <w:b/>
          <w:bCs/>
          <w:sz w:val="24"/>
          <w:szCs w:val="24"/>
          <w:lang w:val="es-CO"/>
        </w:rPr>
        <w:t>RTA:</w:t>
      </w:r>
    </w:p>
    <w:p w14:paraId="6DCFEAA3" w14:textId="6451ADF7" w:rsidR="007B273E" w:rsidRPr="00F603B8" w:rsidRDefault="007B273E" w:rsidP="007B273E">
      <w:pPr>
        <w:pStyle w:val="ListBullet"/>
        <w:numPr>
          <w:ilvl w:val="0"/>
          <w:numId w:val="0"/>
        </w:numPr>
        <w:ind w:left="360" w:hanging="360"/>
        <w:rPr>
          <w:rFonts w:asciiTheme="majorHAnsi" w:hAnsiTheme="majorHAnsi" w:cstheme="majorHAnsi"/>
          <w:sz w:val="24"/>
          <w:szCs w:val="24"/>
          <w:lang w:val="es-CO"/>
        </w:rPr>
      </w:pPr>
      <w:r w:rsidRPr="007B273E">
        <w:rPr>
          <w:rFonts w:asciiTheme="majorHAnsi" w:hAnsiTheme="majorHAnsi" w:cstheme="majorHAnsi"/>
          <w:noProof/>
          <w:sz w:val="24"/>
          <w:szCs w:val="24"/>
          <w:lang w:val="es-CO"/>
        </w:rPr>
        <w:lastRenderedPageBreak/>
        <w:drawing>
          <wp:inline distT="0" distB="0" distL="0" distR="0" wp14:anchorId="2C8BBAD8" wp14:editId="7CC817D5">
            <wp:extent cx="5486400" cy="923925"/>
            <wp:effectExtent l="0" t="0" r="0" b="9525"/>
            <wp:docPr id="104905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53915" name=""/>
                    <pic:cNvPicPr/>
                  </pic:nvPicPr>
                  <pic:blipFill>
                    <a:blip r:embed="rId10"/>
                    <a:stretch>
                      <a:fillRect/>
                    </a:stretch>
                  </pic:blipFill>
                  <pic:spPr>
                    <a:xfrm>
                      <a:off x="0" y="0"/>
                      <a:ext cx="5486400" cy="923925"/>
                    </a:xfrm>
                    <a:prstGeom prst="rect">
                      <a:avLst/>
                    </a:prstGeom>
                  </pic:spPr>
                </pic:pic>
              </a:graphicData>
            </a:graphic>
          </wp:inline>
        </w:drawing>
      </w:r>
    </w:p>
    <w:p w14:paraId="5373C65F" w14:textId="1480102A" w:rsidR="00573A27" w:rsidRPr="007B273E" w:rsidRDefault="00573A27" w:rsidP="00573A27">
      <w:pPr>
        <w:pStyle w:val="ListBullet"/>
        <w:numPr>
          <w:ilvl w:val="1"/>
          <w:numId w:val="11"/>
        </w:numPr>
        <w:rPr>
          <w:rFonts w:asciiTheme="majorHAnsi" w:hAnsiTheme="majorHAnsi" w:cstheme="majorHAnsi"/>
          <w:sz w:val="24"/>
          <w:szCs w:val="24"/>
        </w:rPr>
      </w:pPr>
      <w:r w:rsidRPr="005709EB">
        <w:rPr>
          <w:rFonts w:asciiTheme="majorHAnsi" w:hAnsiTheme="majorHAnsi" w:cstheme="majorHAnsi"/>
          <w:sz w:val="24"/>
          <w:szCs w:val="24"/>
          <w:lang w:val="es-CO"/>
        </w:rPr>
        <w:t>Columna con diferencia (20</w:t>
      </w:r>
      <w:r>
        <w:rPr>
          <w:rFonts w:asciiTheme="majorHAnsi" w:hAnsiTheme="majorHAnsi" w:cstheme="majorHAnsi"/>
          <w:sz w:val="24"/>
          <w:szCs w:val="24"/>
          <w:lang w:val="es-CO"/>
        </w:rPr>
        <w:t>2</w:t>
      </w:r>
      <w:r w:rsidRPr="005709EB">
        <w:rPr>
          <w:rFonts w:asciiTheme="majorHAnsi" w:hAnsiTheme="majorHAnsi" w:cstheme="majorHAnsi"/>
          <w:sz w:val="24"/>
          <w:szCs w:val="24"/>
          <w:lang w:val="es-CO"/>
        </w:rPr>
        <w:t>4–20</w:t>
      </w:r>
      <w:r>
        <w:rPr>
          <w:rFonts w:asciiTheme="majorHAnsi" w:hAnsiTheme="majorHAnsi" w:cstheme="majorHAnsi"/>
          <w:sz w:val="24"/>
          <w:szCs w:val="24"/>
          <w:lang w:val="es-CO"/>
        </w:rPr>
        <w:t>14</w:t>
      </w:r>
      <w:r w:rsidRPr="005709EB">
        <w:rPr>
          <w:rFonts w:asciiTheme="majorHAnsi" w:hAnsiTheme="majorHAnsi" w:cstheme="majorHAnsi"/>
          <w:sz w:val="24"/>
          <w:szCs w:val="24"/>
          <w:lang w:val="es-CO"/>
        </w:rPr>
        <w:t xml:space="preserve">). </w:t>
      </w:r>
    </w:p>
    <w:p w14:paraId="64D3B33D" w14:textId="3A51308A" w:rsidR="007B273E" w:rsidRPr="007B273E" w:rsidRDefault="007B273E" w:rsidP="007B273E">
      <w:pPr>
        <w:pStyle w:val="ListBullet"/>
        <w:numPr>
          <w:ilvl w:val="0"/>
          <w:numId w:val="0"/>
        </w:numPr>
        <w:ind w:left="360" w:hanging="360"/>
        <w:rPr>
          <w:rFonts w:asciiTheme="majorHAnsi" w:hAnsiTheme="majorHAnsi" w:cstheme="majorHAnsi"/>
          <w:b/>
          <w:bCs/>
          <w:sz w:val="24"/>
          <w:szCs w:val="24"/>
        </w:rPr>
      </w:pPr>
      <w:r w:rsidRPr="007B273E">
        <w:rPr>
          <w:rFonts w:asciiTheme="majorHAnsi" w:hAnsiTheme="majorHAnsi" w:cstheme="majorHAnsi"/>
          <w:b/>
          <w:bCs/>
          <w:sz w:val="24"/>
          <w:szCs w:val="24"/>
        </w:rPr>
        <w:t>RTA:</w:t>
      </w:r>
    </w:p>
    <w:p w14:paraId="7987C969" w14:textId="2292B8ED" w:rsidR="007B273E" w:rsidRPr="005709EB" w:rsidRDefault="002D1EE9" w:rsidP="007B273E">
      <w:pPr>
        <w:pStyle w:val="ListBullet"/>
        <w:numPr>
          <w:ilvl w:val="0"/>
          <w:numId w:val="0"/>
        </w:numPr>
        <w:ind w:left="360" w:hanging="360"/>
        <w:rPr>
          <w:rFonts w:asciiTheme="majorHAnsi" w:hAnsiTheme="majorHAnsi" w:cstheme="majorHAnsi"/>
          <w:sz w:val="24"/>
          <w:szCs w:val="24"/>
        </w:rPr>
      </w:pPr>
      <w:r w:rsidRPr="002D1EE9">
        <w:rPr>
          <w:rFonts w:asciiTheme="majorHAnsi" w:hAnsiTheme="majorHAnsi" w:cstheme="majorHAnsi"/>
          <w:sz w:val="24"/>
          <w:szCs w:val="24"/>
        </w:rPr>
        <w:drawing>
          <wp:inline distT="0" distB="0" distL="0" distR="0" wp14:anchorId="71CD19B0" wp14:editId="1DE55B9F">
            <wp:extent cx="5096333" cy="906780"/>
            <wp:effectExtent l="0" t="0" r="9525" b="7620"/>
            <wp:docPr id="203832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22693" name=""/>
                    <pic:cNvPicPr/>
                  </pic:nvPicPr>
                  <pic:blipFill>
                    <a:blip r:embed="rId11"/>
                    <a:stretch>
                      <a:fillRect/>
                    </a:stretch>
                  </pic:blipFill>
                  <pic:spPr>
                    <a:xfrm>
                      <a:off x="0" y="0"/>
                      <a:ext cx="5098421" cy="907152"/>
                    </a:xfrm>
                    <a:prstGeom prst="rect">
                      <a:avLst/>
                    </a:prstGeom>
                  </pic:spPr>
                </pic:pic>
              </a:graphicData>
            </a:graphic>
          </wp:inline>
        </w:drawing>
      </w:r>
    </w:p>
    <w:p w14:paraId="1B8E03C1" w14:textId="7456B217" w:rsidR="00573A27" w:rsidRDefault="00573A27" w:rsidP="00573A27">
      <w:pPr>
        <w:pStyle w:val="ListBullet"/>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 xml:space="preserve">Agrega desviaciones estándar y número de observaciones. </w:t>
      </w:r>
    </w:p>
    <w:p w14:paraId="6D9F83F4" w14:textId="4EE1BCC3" w:rsidR="001F7E40" w:rsidRPr="001F7E40" w:rsidRDefault="001F7E40" w:rsidP="001F7E40">
      <w:pPr>
        <w:pStyle w:val="ListBullet"/>
        <w:numPr>
          <w:ilvl w:val="0"/>
          <w:numId w:val="0"/>
        </w:numPr>
        <w:ind w:left="360" w:hanging="360"/>
        <w:rPr>
          <w:rFonts w:asciiTheme="majorHAnsi" w:hAnsiTheme="majorHAnsi" w:cstheme="majorHAnsi"/>
          <w:b/>
          <w:bCs/>
          <w:sz w:val="24"/>
          <w:szCs w:val="24"/>
        </w:rPr>
      </w:pPr>
      <w:r w:rsidRPr="007B273E">
        <w:rPr>
          <w:rFonts w:asciiTheme="majorHAnsi" w:hAnsiTheme="majorHAnsi" w:cstheme="majorHAnsi"/>
          <w:b/>
          <w:bCs/>
          <w:sz w:val="24"/>
          <w:szCs w:val="24"/>
        </w:rPr>
        <w:t>RTA:</w:t>
      </w:r>
    </w:p>
    <w:p w14:paraId="034B691E" w14:textId="79649CD8" w:rsidR="00577420" w:rsidRPr="005709EB" w:rsidRDefault="002D1EE9" w:rsidP="00577420">
      <w:pPr>
        <w:pStyle w:val="ListBullet"/>
        <w:numPr>
          <w:ilvl w:val="0"/>
          <w:numId w:val="0"/>
        </w:numPr>
        <w:ind w:left="360" w:hanging="360"/>
        <w:rPr>
          <w:rFonts w:asciiTheme="majorHAnsi" w:hAnsiTheme="majorHAnsi" w:cstheme="majorHAnsi"/>
          <w:sz w:val="24"/>
          <w:szCs w:val="24"/>
          <w:lang w:val="es-CO"/>
        </w:rPr>
      </w:pPr>
      <w:r w:rsidRPr="002D1EE9">
        <w:rPr>
          <w:rFonts w:asciiTheme="majorHAnsi" w:hAnsiTheme="majorHAnsi" w:cstheme="majorHAnsi"/>
          <w:sz w:val="24"/>
          <w:szCs w:val="24"/>
          <w:lang w:val="es-CO"/>
        </w:rPr>
        <w:drawing>
          <wp:inline distT="0" distB="0" distL="0" distR="0" wp14:anchorId="23E1FFE2" wp14:editId="3F4D64FB">
            <wp:extent cx="6221420" cy="601980"/>
            <wp:effectExtent l="0" t="0" r="8255" b="7620"/>
            <wp:docPr id="109828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89744" name=""/>
                    <pic:cNvPicPr/>
                  </pic:nvPicPr>
                  <pic:blipFill>
                    <a:blip r:embed="rId12"/>
                    <a:stretch>
                      <a:fillRect/>
                    </a:stretch>
                  </pic:blipFill>
                  <pic:spPr>
                    <a:xfrm>
                      <a:off x="0" y="0"/>
                      <a:ext cx="6227560" cy="602574"/>
                    </a:xfrm>
                    <a:prstGeom prst="rect">
                      <a:avLst/>
                    </a:prstGeom>
                  </pic:spPr>
                </pic:pic>
              </a:graphicData>
            </a:graphic>
          </wp:inline>
        </w:drawing>
      </w:r>
    </w:p>
    <w:p w14:paraId="3232C367" w14:textId="4E6F31DE" w:rsidR="00573A27" w:rsidRDefault="00573A27" w:rsidP="00573A27">
      <w:pPr>
        <w:pStyle w:val="ListBullet"/>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Calcula IC 95% con CONFIDENCE.T.</w:t>
      </w:r>
    </w:p>
    <w:p w14:paraId="0CBDC329" w14:textId="20E95351" w:rsidR="001F7E40" w:rsidRDefault="001F7E40" w:rsidP="001F7E40">
      <w:pPr>
        <w:pStyle w:val="ListBullet"/>
        <w:numPr>
          <w:ilvl w:val="0"/>
          <w:numId w:val="0"/>
        </w:numPr>
        <w:ind w:left="360" w:hanging="360"/>
        <w:rPr>
          <w:rFonts w:asciiTheme="majorHAnsi" w:hAnsiTheme="majorHAnsi" w:cstheme="majorHAnsi"/>
          <w:b/>
          <w:bCs/>
          <w:sz w:val="24"/>
          <w:szCs w:val="24"/>
          <w:lang w:val="es-CO"/>
        </w:rPr>
      </w:pPr>
      <w:r w:rsidRPr="001F7E40">
        <w:rPr>
          <w:rFonts w:asciiTheme="majorHAnsi" w:hAnsiTheme="majorHAnsi" w:cstheme="majorHAnsi"/>
          <w:b/>
          <w:bCs/>
          <w:sz w:val="24"/>
          <w:szCs w:val="24"/>
          <w:lang w:val="es-CO"/>
        </w:rPr>
        <w:t>RTA:</w:t>
      </w:r>
    </w:p>
    <w:p w14:paraId="29725897" w14:textId="77777777" w:rsidR="001F7E40" w:rsidRDefault="001F7E40" w:rsidP="001F7E40">
      <w:pPr>
        <w:pStyle w:val="ListBullet"/>
        <w:numPr>
          <w:ilvl w:val="0"/>
          <w:numId w:val="0"/>
        </w:numPr>
        <w:ind w:left="360" w:hanging="360"/>
        <w:rPr>
          <w:rFonts w:asciiTheme="majorHAnsi" w:hAnsiTheme="majorHAnsi" w:cstheme="majorHAnsi"/>
          <w:b/>
          <w:bCs/>
          <w:sz w:val="24"/>
          <w:szCs w:val="24"/>
          <w:lang w:val="es-CO"/>
        </w:rPr>
      </w:pPr>
    </w:p>
    <w:p w14:paraId="254B4476" w14:textId="40100828" w:rsidR="0041268B" w:rsidRPr="001F7E40" w:rsidRDefault="002D1EE9" w:rsidP="0041268B">
      <w:pPr>
        <w:pStyle w:val="ListBullet"/>
        <w:numPr>
          <w:ilvl w:val="0"/>
          <w:numId w:val="0"/>
        </w:numPr>
        <w:rPr>
          <w:rFonts w:asciiTheme="majorHAnsi" w:hAnsiTheme="majorHAnsi" w:cstheme="majorHAnsi"/>
          <w:b/>
          <w:bCs/>
          <w:sz w:val="24"/>
          <w:szCs w:val="24"/>
          <w:lang w:val="es-CO"/>
        </w:rPr>
      </w:pPr>
      <w:r w:rsidRPr="002D1EE9">
        <w:rPr>
          <w:rFonts w:asciiTheme="majorHAnsi" w:hAnsiTheme="majorHAnsi" w:cstheme="majorHAnsi"/>
          <w:b/>
          <w:bCs/>
          <w:sz w:val="24"/>
          <w:szCs w:val="24"/>
          <w:lang w:val="es-CO"/>
        </w:rPr>
        <w:drawing>
          <wp:inline distT="0" distB="0" distL="0" distR="0" wp14:anchorId="4215BE33" wp14:editId="572E71EF">
            <wp:extent cx="4353533" cy="743054"/>
            <wp:effectExtent l="0" t="0" r="0" b="0"/>
            <wp:docPr id="149400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09855" name=""/>
                    <pic:cNvPicPr/>
                  </pic:nvPicPr>
                  <pic:blipFill>
                    <a:blip r:embed="rId13"/>
                    <a:stretch>
                      <a:fillRect/>
                    </a:stretch>
                  </pic:blipFill>
                  <pic:spPr>
                    <a:xfrm>
                      <a:off x="0" y="0"/>
                      <a:ext cx="4353533" cy="743054"/>
                    </a:xfrm>
                    <a:prstGeom prst="rect">
                      <a:avLst/>
                    </a:prstGeom>
                  </pic:spPr>
                </pic:pic>
              </a:graphicData>
            </a:graphic>
          </wp:inline>
        </w:drawing>
      </w:r>
    </w:p>
    <w:p w14:paraId="1A18C2F4" w14:textId="32C800EA" w:rsidR="00B7058F" w:rsidRDefault="00B7058F" w:rsidP="00573A27">
      <w:pPr>
        <w:pStyle w:val="ListBullet"/>
        <w:numPr>
          <w:ilvl w:val="1"/>
          <w:numId w:val="11"/>
        </w:numPr>
        <w:rPr>
          <w:rFonts w:asciiTheme="majorHAnsi" w:hAnsiTheme="majorHAnsi" w:cstheme="majorHAnsi"/>
          <w:sz w:val="24"/>
          <w:szCs w:val="24"/>
          <w:lang w:val="es-CO"/>
        </w:rPr>
      </w:pPr>
      <w:r>
        <w:rPr>
          <w:rFonts w:asciiTheme="majorHAnsi" w:hAnsiTheme="majorHAnsi" w:cstheme="majorHAnsi"/>
          <w:sz w:val="24"/>
          <w:szCs w:val="24"/>
          <w:lang w:val="es-CO"/>
        </w:rPr>
        <w:t>Con gráficos de barras (una por región), graficar las diferencias incluyendo los intervalos de confianza.</w:t>
      </w:r>
    </w:p>
    <w:p w14:paraId="3B3B2862" w14:textId="72C6E25A" w:rsidR="000E2E0E" w:rsidRDefault="000E2E0E" w:rsidP="000E2E0E">
      <w:pPr>
        <w:pStyle w:val="ListBullet"/>
        <w:numPr>
          <w:ilvl w:val="0"/>
          <w:numId w:val="0"/>
        </w:numPr>
        <w:ind w:left="360" w:hanging="360"/>
        <w:rPr>
          <w:rFonts w:asciiTheme="majorHAnsi" w:hAnsiTheme="majorHAnsi" w:cstheme="majorHAnsi"/>
          <w:b/>
          <w:bCs/>
          <w:sz w:val="24"/>
          <w:szCs w:val="24"/>
          <w:lang w:val="es-CO"/>
        </w:rPr>
      </w:pPr>
      <w:r>
        <w:rPr>
          <w:rFonts w:asciiTheme="majorHAnsi" w:hAnsiTheme="majorHAnsi" w:cstheme="majorHAnsi"/>
          <w:b/>
          <w:bCs/>
          <w:sz w:val="24"/>
          <w:szCs w:val="24"/>
          <w:lang w:val="es-CO"/>
        </w:rPr>
        <w:t>RTA:</w:t>
      </w:r>
    </w:p>
    <w:p w14:paraId="708E8606" w14:textId="11C984C5" w:rsidR="000E2E0E" w:rsidRPr="000E2E0E" w:rsidRDefault="001C5877" w:rsidP="000E2E0E">
      <w:pPr>
        <w:pStyle w:val="ListBullet"/>
        <w:numPr>
          <w:ilvl w:val="0"/>
          <w:numId w:val="0"/>
        </w:numPr>
        <w:ind w:left="360" w:hanging="360"/>
        <w:rPr>
          <w:rFonts w:asciiTheme="majorHAnsi" w:hAnsiTheme="majorHAnsi" w:cstheme="majorHAnsi"/>
          <w:b/>
          <w:bCs/>
          <w:sz w:val="24"/>
          <w:szCs w:val="24"/>
          <w:lang w:val="es-CO"/>
        </w:rPr>
      </w:pPr>
      <w:r w:rsidRPr="001C5877">
        <w:rPr>
          <w:rFonts w:asciiTheme="majorHAnsi" w:hAnsiTheme="majorHAnsi" w:cstheme="majorHAnsi"/>
          <w:b/>
          <w:bCs/>
          <w:sz w:val="24"/>
          <w:szCs w:val="24"/>
          <w:lang w:val="es-CO"/>
        </w:rPr>
        <w:lastRenderedPageBreak/>
        <w:drawing>
          <wp:inline distT="0" distB="0" distL="0" distR="0" wp14:anchorId="7AF72FD0" wp14:editId="0A1921F9">
            <wp:extent cx="5486400" cy="4436110"/>
            <wp:effectExtent l="0" t="0" r="0" b="2540"/>
            <wp:docPr id="164637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78793" name=""/>
                    <pic:cNvPicPr/>
                  </pic:nvPicPr>
                  <pic:blipFill>
                    <a:blip r:embed="rId14"/>
                    <a:stretch>
                      <a:fillRect/>
                    </a:stretch>
                  </pic:blipFill>
                  <pic:spPr>
                    <a:xfrm>
                      <a:off x="0" y="0"/>
                      <a:ext cx="5486400" cy="4436110"/>
                    </a:xfrm>
                    <a:prstGeom prst="rect">
                      <a:avLst/>
                    </a:prstGeom>
                  </pic:spPr>
                </pic:pic>
              </a:graphicData>
            </a:graphic>
          </wp:inline>
        </w:drawing>
      </w:r>
    </w:p>
    <w:p w14:paraId="28AC7774" w14:textId="5A044B08" w:rsidR="00B7058F" w:rsidRDefault="00B7058F" w:rsidP="00573A27">
      <w:pPr>
        <w:pStyle w:val="ListBullet"/>
        <w:numPr>
          <w:ilvl w:val="1"/>
          <w:numId w:val="11"/>
        </w:numPr>
        <w:rPr>
          <w:rFonts w:asciiTheme="majorHAnsi" w:hAnsiTheme="majorHAnsi" w:cstheme="majorHAnsi"/>
          <w:sz w:val="24"/>
          <w:szCs w:val="24"/>
          <w:lang w:val="es-CO"/>
        </w:rPr>
      </w:pPr>
      <w:r>
        <w:rPr>
          <w:rFonts w:asciiTheme="majorHAnsi" w:hAnsiTheme="majorHAnsi" w:cstheme="majorHAnsi"/>
          <w:sz w:val="24"/>
          <w:szCs w:val="24"/>
          <w:lang w:val="es-CO"/>
        </w:rPr>
        <w:t>Interpretar: ¿hay evidencia de un cambio notable antes y después del COVID?, ¿por qué?</w:t>
      </w:r>
    </w:p>
    <w:p w14:paraId="5E29A83D" w14:textId="070E1192" w:rsidR="000E2E0E" w:rsidRPr="000E2E0E" w:rsidRDefault="000E2E0E" w:rsidP="000E2E0E">
      <w:pPr>
        <w:pStyle w:val="ListBullet"/>
        <w:numPr>
          <w:ilvl w:val="0"/>
          <w:numId w:val="0"/>
        </w:numPr>
        <w:ind w:left="360" w:hanging="360"/>
        <w:rPr>
          <w:rFonts w:asciiTheme="majorHAnsi" w:hAnsiTheme="majorHAnsi" w:cstheme="majorHAnsi"/>
          <w:b/>
          <w:bCs/>
          <w:sz w:val="24"/>
          <w:szCs w:val="24"/>
          <w:lang w:val="es-CO"/>
        </w:rPr>
      </w:pPr>
      <w:r>
        <w:rPr>
          <w:rFonts w:asciiTheme="majorHAnsi" w:hAnsiTheme="majorHAnsi" w:cstheme="majorHAnsi"/>
          <w:b/>
          <w:bCs/>
          <w:sz w:val="24"/>
          <w:szCs w:val="24"/>
          <w:lang w:val="es-CO"/>
        </w:rPr>
        <w:t>RTA:</w:t>
      </w:r>
    </w:p>
    <w:p w14:paraId="2119EFA2" w14:textId="77777777" w:rsidR="002F6F4C" w:rsidRPr="002F6F4C" w:rsidRDefault="002F6F4C" w:rsidP="002F6F4C">
      <w:pPr>
        <w:pStyle w:val="NormalWeb"/>
        <w:rPr>
          <w:rFonts w:asciiTheme="majorHAnsi" w:hAnsiTheme="majorHAnsi" w:cstheme="majorHAnsi"/>
        </w:rPr>
      </w:pPr>
      <w:r w:rsidRPr="002F6F4C">
        <w:rPr>
          <w:rFonts w:asciiTheme="majorHAnsi" w:hAnsiTheme="majorHAnsi" w:cstheme="majorHAnsi"/>
        </w:rPr>
        <w:t>Sí, existe evidencia de un cambio notable en el comportamiento del mercado antes y después del COVID-19. Entre los años 2014 y 2024, los promedios regionales muestran variaciones significativas que evidencian transformaciones estructurales en la economía global. En particular, América y Asia presentan incrementos sustanciales en sus indicadores, mientras que Europa refleja un avance más moderado, marcado por factores coyunturales y diferencias sectoriales.</w:t>
      </w:r>
    </w:p>
    <w:p w14:paraId="7B0AEB5F" w14:textId="77777777" w:rsidR="002F6F4C" w:rsidRPr="002F6F4C" w:rsidRDefault="002F6F4C" w:rsidP="002F6F4C">
      <w:pPr>
        <w:pStyle w:val="NormalWeb"/>
        <w:rPr>
          <w:rFonts w:asciiTheme="majorHAnsi" w:hAnsiTheme="majorHAnsi" w:cstheme="majorHAnsi"/>
        </w:rPr>
      </w:pPr>
      <w:r w:rsidRPr="002F6F4C">
        <w:rPr>
          <w:rFonts w:asciiTheme="majorHAnsi" w:hAnsiTheme="majorHAnsi" w:cstheme="majorHAnsi"/>
        </w:rPr>
        <w:t>En el caso de América, la recuperación posterior a la pandemia se vio impulsada por el crecimiento del sector tecnológico y el comercio electrónico. Compañías como Apple y Microsoft consolidaron su liderazgo, favorecidas por la digitalización acelerada y la adaptación del consumo a plataformas en línea. Esto generó un aumento sostenido en los volúmenes de mercado y en los precios promedio de los activos.</w:t>
      </w:r>
    </w:p>
    <w:p w14:paraId="6CF48D53" w14:textId="77777777" w:rsidR="002F6F4C" w:rsidRPr="002F6F4C" w:rsidRDefault="002F6F4C" w:rsidP="002F6F4C">
      <w:pPr>
        <w:pStyle w:val="NormalWeb"/>
        <w:rPr>
          <w:rFonts w:asciiTheme="majorHAnsi" w:hAnsiTheme="majorHAnsi" w:cstheme="majorHAnsi"/>
        </w:rPr>
      </w:pPr>
      <w:r w:rsidRPr="002F6F4C">
        <w:rPr>
          <w:rFonts w:asciiTheme="majorHAnsi" w:hAnsiTheme="majorHAnsi" w:cstheme="majorHAnsi"/>
        </w:rPr>
        <w:t xml:space="preserve">Por su parte, Asia mantuvo una dinámica de crecimiento estable gracias a su fuerte base industrial y a conglomerados globales como Samsung, Toyota y Alibaba. Estos sectores </w:t>
      </w:r>
      <w:r w:rsidRPr="002F6F4C">
        <w:rPr>
          <w:rFonts w:asciiTheme="majorHAnsi" w:hAnsiTheme="majorHAnsi" w:cstheme="majorHAnsi"/>
        </w:rPr>
        <w:lastRenderedPageBreak/>
        <w:t>se beneficiaron de la rápida reactivación manufacturera y del reposicionamiento de las cadenas de suministro, fortaleciendo el desempeño regional.</w:t>
      </w:r>
    </w:p>
    <w:p w14:paraId="7CDEA60E" w14:textId="77777777" w:rsidR="002F6F4C" w:rsidRPr="002F6F4C" w:rsidRDefault="002F6F4C" w:rsidP="002F6F4C">
      <w:pPr>
        <w:pStyle w:val="NormalWeb"/>
        <w:rPr>
          <w:rFonts w:asciiTheme="majorHAnsi" w:hAnsiTheme="majorHAnsi" w:cstheme="majorHAnsi"/>
        </w:rPr>
      </w:pPr>
      <w:r w:rsidRPr="002F6F4C">
        <w:rPr>
          <w:rFonts w:asciiTheme="majorHAnsi" w:hAnsiTheme="majorHAnsi" w:cstheme="majorHAnsi"/>
        </w:rPr>
        <w:t>En contraste, Europa mostró un comportamiento más heterogéneo. Aunque sectores como el de bienes de lujo y consumo masivo (con empresas como LVMH y Nestlé) experimentaron una recuperación visible, la región se vio afectada por crisis energéticas e inflacionarias que limitaron su crecimiento general.</w:t>
      </w:r>
    </w:p>
    <w:p w14:paraId="04955F80" w14:textId="77777777" w:rsidR="002F6F4C" w:rsidRPr="002F6F4C" w:rsidRDefault="002F6F4C" w:rsidP="002F6F4C">
      <w:pPr>
        <w:pStyle w:val="NormalWeb"/>
        <w:rPr>
          <w:rFonts w:asciiTheme="majorHAnsi" w:hAnsiTheme="majorHAnsi" w:cstheme="majorHAnsi"/>
        </w:rPr>
      </w:pPr>
      <w:r w:rsidRPr="002F6F4C">
        <w:rPr>
          <w:rFonts w:asciiTheme="majorHAnsi" w:hAnsiTheme="majorHAnsi" w:cstheme="majorHAnsi"/>
        </w:rPr>
        <w:t>Finalmente, los gráficos de barras con intervalos de confianza confirman estas tendencias: las diferencias positivas y con intervalos que no cruzan el valor cero evidencian un cambio estadísticamente significativo en varias regiones. Esto indica que la pandemia no solo alteró el ritmo de crecimiento económico, sino que también modificó la estructura de los mercados globales, acentuando la digitalización, la concentración del capital y la volatilidad financiera.</w:t>
      </w:r>
    </w:p>
    <w:p w14:paraId="673012F0" w14:textId="01F2B7C0" w:rsidR="00573A27" w:rsidRPr="0041268B" w:rsidRDefault="00573A27" w:rsidP="0041268B">
      <w:pPr>
        <w:pStyle w:val="NormalWeb"/>
      </w:pPr>
    </w:p>
    <w:sectPr w:rsidR="00573A27" w:rsidRPr="004126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6AC2B8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BDA386F"/>
    <w:multiLevelType w:val="hybridMultilevel"/>
    <w:tmpl w:val="26BEB9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0A5684"/>
    <w:multiLevelType w:val="hybridMultilevel"/>
    <w:tmpl w:val="9660697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99F0A06"/>
    <w:multiLevelType w:val="hybridMultilevel"/>
    <w:tmpl w:val="7E388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3990643">
    <w:abstractNumId w:val="8"/>
  </w:num>
  <w:num w:numId="2" w16cid:durableId="2129932522">
    <w:abstractNumId w:val="6"/>
  </w:num>
  <w:num w:numId="3" w16cid:durableId="535461504">
    <w:abstractNumId w:val="5"/>
  </w:num>
  <w:num w:numId="4" w16cid:durableId="1419712707">
    <w:abstractNumId w:val="4"/>
  </w:num>
  <w:num w:numId="5" w16cid:durableId="1007638029">
    <w:abstractNumId w:val="7"/>
  </w:num>
  <w:num w:numId="6" w16cid:durableId="1937202424">
    <w:abstractNumId w:val="3"/>
  </w:num>
  <w:num w:numId="7" w16cid:durableId="864513968">
    <w:abstractNumId w:val="2"/>
  </w:num>
  <w:num w:numId="8" w16cid:durableId="1895316183">
    <w:abstractNumId w:val="1"/>
  </w:num>
  <w:num w:numId="9" w16cid:durableId="1249387299">
    <w:abstractNumId w:val="0"/>
  </w:num>
  <w:num w:numId="10" w16cid:durableId="1834909065">
    <w:abstractNumId w:val="11"/>
  </w:num>
  <w:num w:numId="11" w16cid:durableId="782312507">
    <w:abstractNumId w:val="10"/>
  </w:num>
  <w:num w:numId="12" w16cid:durableId="7011730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582"/>
    <w:rsid w:val="00027437"/>
    <w:rsid w:val="00034616"/>
    <w:rsid w:val="0006063C"/>
    <w:rsid w:val="000D5E05"/>
    <w:rsid w:val="000E2E0E"/>
    <w:rsid w:val="00107A69"/>
    <w:rsid w:val="00122C84"/>
    <w:rsid w:val="0015074B"/>
    <w:rsid w:val="001C5877"/>
    <w:rsid w:val="001F7E40"/>
    <w:rsid w:val="0029639D"/>
    <w:rsid w:val="002D1EE9"/>
    <w:rsid w:val="002F6F4C"/>
    <w:rsid w:val="00306356"/>
    <w:rsid w:val="00326F90"/>
    <w:rsid w:val="0041268B"/>
    <w:rsid w:val="00416B3A"/>
    <w:rsid w:val="005709EB"/>
    <w:rsid w:val="00573A27"/>
    <w:rsid w:val="00577420"/>
    <w:rsid w:val="00593BAD"/>
    <w:rsid w:val="007A71B2"/>
    <w:rsid w:val="007B273E"/>
    <w:rsid w:val="008868CF"/>
    <w:rsid w:val="009043E5"/>
    <w:rsid w:val="009118C5"/>
    <w:rsid w:val="00A5620F"/>
    <w:rsid w:val="00AA1D8D"/>
    <w:rsid w:val="00B47730"/>
    <w:rsid w:val="00B7058F"/>
    <w:rsid w:val="00BB398C"/>
    <w:rsid w:val="00C458B9"/>
    <w:rsid w:val="00CA30C7"/>
    <w:rsid w:val="00CB0664"/>
    <w:rsid w:val="00D655AD"/>
    <w:rsid w:val="00E312AC"/>
    <w:rsid w:val="00F5692D"/>
    <w:rsid w:val="00F56F8E"/>
    <w:rsid w:val="00F603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98EB87"/>
  <w14:defaultImageDpi w14:val="300"/>
  <w15:docId w15:val="{5EBC8C13-E632-497D-A5A5-C51199F6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5709EB"/>
    <w:rPr>
      <w:rFonts w:ascii="Courier New" w:eastAsia="Times New Roman" w:hAnsi="Courier New" w:cs="Courier New"/>
      <w:sz w:val="20"/>
      <w:szCs w:val="20"/>
    </w:rPr>
  </w:style>
  <w:style w:type="character" w:styleId="Hyperlink">
    <w:name w:val="Hyperlink"/>
    <w:basedOn w:val="DefaultParagraphFont"/>
    <w:uiPriority w:val="99"/>
    <w:unhideWhenUsed/>
    <w:rsid w:val="005709EB"/>
    <w:rPr>
      <w:color w:val="0000FF" w:themeColor="hyperlink"/>
      <w:u w:val="single"/>
    </w:rPr>
  </w:style>
  <w:style w:type="character" w:styleId="UnresolvedMention">
    <w:name w:val="Unresolved Mention"/>
    <w:basedOn w:val="DefaultParagraphFont"/>
    <w:uiPriority w:val="99"/>
    <w:semiHidden/>
    <w:unhideWhenUsed/>
    <w:rsid w:val="005709EB"/>
    <w:rPr>
      <w:color w:val="605E5C"/>
      <w:shd w:val="clear" w:color="auto" w:fill="E1DFDD"/>
    </w:rPr>
  </w:style>
  <w:style w:type="paragraph" w:styleId="NormalWeb">
    <w:name w:val="Normal (Web)"/>
    <w:basedOn w:val="Normal"/>
    <w:uiPriority w:val="99"/>
    <w:unhideWhenUsed/>
    <w:rsid w:val="000E2E0E"/>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830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ooks.core-econ.org/doing-economics/book/text/10-02.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715</Words>
  <Characters>3933</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4639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Esteban Vergara Daza</cp:lastModifiedBy>
  <cp:revision>7</cp:revision>
  <dcterms:created xsi:type="dcterms:W3CDTF">2025-10-05T20:45:00Z</dcterms:created>
  <dcterms:modified xsi:type="dcterms:W3CDTF">2025-10-06T19:01:00Z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95212ca4-ebc8-4988-ae4a-714e36c9a570</vt:lpwstr>
  </property>
</Properties>
</file>