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AD1E7" w14:textId="1705443C" w:rsidR="00CA30C7" w:rsidRPr="005709EB" w:rsidRDefault="008868CF" w:rsidP="00D655AD">
      <w:pPr>
        <w:pStyle w:val="Ttulo1"/>
        <w:spacing w:before="0"/>
        <w:rPr>
          <w:rFonts w:cstheme="majorHAnsi"/>
          <w:sz w:val="24"/>
          <w:szCs w:val="24"/>
          <w:lang w:val="es-CO"/>
        </w:rPr>
      </w:pPr>
      <w:r w:rsidRPr="005709EB">
        <w:rPr>
          <w:rFonts w:cstheme="majorHAnsi"/>
          <w:sz w:val="24"/>
          <w:szCs w:val="24"/>
          <w:lang w:val="es-CO"/>
        </w:rPr>
        <w:t xml:space="preserve">Taller </w:t>
      </w:r>
      <w:r w:rsidR="005709EB" w:rsidRPr="005709EB">
        <w:rPr>
          <w:rFonts w:cstheme="majorHAnsi"/>
          <w:sz w:val="24"/>
          <w:szCs w:val="24"/>
          <w:lang w:val="es-CO"/>
        </w:rPr>
        <w:t xml:space="preserve">5 – </w:t>
      </w:r>
      <w:r w:rsidR="00573A27">
        <w:rPr>
          <w:rFonts w:cstheme="majorHAnsi"/>
          <w:sz w:val="24"/>
          <w:szCs w:val="24"/>
          <w:lang w:val="es-CO"/>
        </w:rPr>
        <w:t>Construcción de un índice</w:t>
      </w:r>
      <w:r w:rsidR="00122C84">
        <w:rPr>
          <w:rFonts w:cstheme="majorHAnsi"/>
          <w:sz w:val="24"/>
          <w:szCs w:val="24"/>
          <w:lang w:val="es-CO"/>
        </w:rPr>
        <w:t xml:space="preserve"> para entender cambios en la economía global antes y después del COVID</w:t>
      </w:r>
    </w:p>
    <w:p w14:paraId="3461A42D" w14:textId="1CE446C5" w:rsidR="005709EB" w:rsidRPr="005709EB" w:rsidRDefault="005709EB" w:rsidP="00D655AD">
      <w:pPr>
        <w:pStyle w:val="Listaconvietas"/>
        <w:numPr>
          <w:ilvl w:val="0"/>
          <w:numId w:val="0"/>
        </w:numPr>
        <w:rPr>
          <w:rFonts w:asciiTheme="majorHAnsi" w:hAnsiTheme="majorHAnsi" w:cstheme="majorHAnsi"/>
          <w:sz w:val="24"/>
          <w:szCs w:val="24"/>
          <w:lang w:val="es-CO"/>
        </w:rPr>
      </w:pPr>
      <w:r w:rsidRPr="005709EB">
        <w:rPr>
          <w:rFonts w:asciiTheme="majorHAnsi" w:hAnsiTheme="majorHAnsi" w:cstheme="majorHAnsi"/>
          <w:sz w:val="24"/>
          <w:szCs w:val="24"/>
          <w:lang w:val="es-CO"/>
        </w:rPr>
        <w:t xml:space="preserve">Este taller está basado en: </w:t>
      </w:r>
      <w:hyperlink r:id="rId6" w:history="1">
        <w:r w:rsidRPr="005709EB">
          <w:rPr>
            <w:rStyle w:val="Hipervnculo"/>
            <w:rFonts w:asciiTheme="majorHAnsi" w:hAnsiTheme="majorHAnsi" w:cstheme="majorHAnsi"/>
            <w:sz w:val="24"/>
            <w:szCs w:val="24"/>
            <w:lang w:val="es-CO"/>
          </w:rPr>
          <w:t>https://books.core-econ.org/doing-economics/book/text/10-02.html</w:t>
        </w:r>
      </w:hyperlink>
    </w:p>
    <w:p w14:paraId="6673BC9B" w14:textId="77777777" w:rsidR="00416B3A" w:rsidRDefault="00416B3A" w:rsidP="00D655AD">
      <w:pPr>
        <w:pStyle w:val="Listaconvietas"/>
        <w:numPr>
          <w:ilvl w:val="0"/>
          <w:numId w:val="0"/>
        </w:numPr>
        <w:ind w:left="360" w:hanging="360"/>
        <w:rPr>
          <w:rFonts w:asciiTheme="majorHAnsi" w:hAnsiTheme="majorHAnsi" w:cstheme="majorHAnsi"/>
          <w:sz w:val="24"/>
          <w:szCs w:val="24"/>
          <w:lang w:val="es-CO"/>
        </w:rPr>
      </w:pPr>
    </w:p>
    <w:p w14:paraId="7E034798" w14:textId="468F587A" w:rsidR="00416B3A" w:rsidRDefault="00573A27" w:rsidP="00416B3A">
      <w:pPr>
        <w:pStyle w:val="Listaconvietas"/>
        <w:numPr>
          <w:ilvl w:val="0"/>
          <w:numId w:val="11"/>
        </w:numPr>
        <w:rPr>
          <w:rFonts w:asciiTheme="majorHAnsi" w:hAnsiTheme="majorHAnsi" w:cstheme="majorHAnsi"/>
          <w:sz w:val="24"/>
          <w:szCs w:val="24"/>
          <w:lang w:val="es-CO"/>
        </w:rPr>
      </w:pPr>
      <w:r>
        <w:rPr>
          <w:rFonts w:asciiTheme="majorHAnsi" w:hAnsiTheme="majorHAnsi" w:cstheme="majorHAnsi"/>
          <w:sz w:val="24"/>
          <w:szCs w:val="24"/>
          <w:lang w:val="es-CO"/>
        </w:rPr>
        <w:t>Vamos a c</w:t>
      </w:r>
      <w:r w:rsidR="00416B3A">
        <w:rPr>
          <w:rFonts w:asciiTheme="majorHAnsi" w:hAnsiTheme="majorHAnsi" w:cstheme="majorHAnsi"/>
          <w:sz w:val="24"/>
          <w:szCs w:val="24"/>
          <w:lang w:val="es-CO"/>
        </w:rPr>
        <w:t xml:space="preserve">rear un índice con </w:t>
      </w:r>
      <w:r w:rsidR="009118C5">
        <w:rPr>
          <w:rFonts w:asciiTheme="majorHAnsi" w:hAnsiTheme="majorHAnsi" w:cstheme="majorHAnsi"/>
          <w:sz w:val="24"/>
          <w:szCs w:val="24"/>
          <w:lang w:val="es-CO"/>
        </w:rPr>
        <w:t>1</w:t>
      </w:r>
      <w:r w:rsidR="00416B3A">
        <w:rPr>
          <w:rFonts w:asciiTheme="majorHAnsi" w:hAnsiTheme="majorHAnsi" w:cstheme="majorHAnsi"/>
          <w:sz w:val="24"/>
          <w:szCs w:val="24"/>
          <w:lang w:val="es-CO"/>
        </w:rPr>
        <w:t xml:space="preserve">0 </w:t>
      </w:r>
      <w:proofErr w:type="spellStart"/>
      <w:r w:rsidR="00416B3A">
        <w:rPr>
          <w:rFonts w:asciiTheme="majorHAnsi" w:hAnsiTheme="majorHAnsi" w:cstheme="majorHAnsi"/>
          <w:sz w:val="24"/>
          <w:szCs w:val="24"/>
          <w:lang w:val="es-CO"/>
        </w:rPr>
        <w:t>securities</w:t>
      </w:r>
      <w:proofErr w:type="spellEnd"/>
      <w:r w:rsidR="00416B3A">
        <w:rPr>
          <w:rFonts w:asciiTheme="majorHAnsi" w:hAnsiTheme="majorHAnsi" w:cstheme="majorHAnsi"/>
          <w:sz w:val="24"/>
          <w:szCs w:val="24"/>
          <w:lang w:val="es-CO"/>
        </w:rPr>
        <w:t>, en 3 regiones diferentes del mundo</w:t>
      </w:r>
      <w:r>
        <w:rPr>
          <w:rFonts w:asciiTheme="majorHAnsi" w:hAnsiTheme="majorHAnsi" w:cstheme="majorHAnsi"/>
          <w:sz w:val="24"/>
          <w:szCs w:val="24"/>
          <w:lang w:val="es-CO"/>
        </w:rPr>
        <w:t>. Para ello, vamos a descargar los datos de precios y volúmenes de las mismas entre 2014 y 2024.</w:t>
      </w:r>
      <w:r w:rsidR="00B7058F">
        <w:rPr>
          <w:rFonts w:asciiTheme="majorHAnsi" w:hAnsiTheme="majorHAnsi" w:cstheme="majorHAnsi"/>
          <w:sz w:val="24"/>
          <w:szCs w:val="24"/>
          <w:lang w:val="es-CO"/>
        </w:rPr>
        <w:t xml:space="preserve"> Idealmente, utilizar la herramienta de conexión entre Excel y Bloomberg.</w:t>
      </w:r>
    </w:p>
    <w:p w14:paraId="2D884E27" w14:textId="47689422" w:rsidR="00416B3A" w:rsidRDefault="00416B3A" w:rsidP="00416B3A">
      <w:pPr>
        <w:pStyle w:val="Listaconvietas"/>
        <w:numPr>
          <w:ilvl w:val="0"/>
          <w:numId w:val="11"/>
        </w:numPr>
        <w:rPr>
          <w:rFonts w:asciiTheme="majorHAnsi" w:hAnsiTheme="majorHAnsi" w:cstheme="majorHAnsi"/>
          <w:sz w:val="24"/>
          <w:szCs w:val="24"/>
          <w:lang w:val="es-CO"/>
        </w:rPr>
      </w:pPr>
      <w:r>
        <w:rPr>
          <w:rFonts w:asciiTheme="majorHAnsi" w:hAnsiTheme="majorHAnsi" w:cstheme="majorHAnsi"/>
          <w:sz w:val="24"/>
          <w:szCs w:val="24"/>
          <w:lang w:val="es-CO"/>
        </w:rPr>
        <w:t>Resumir datos</w:t>
      </w:r>
    </w:p>
    <w:p w14:paraId="292570A1" w14:textId="77777777" w:rsidR="00F603B8" w:rsidRDefault="00416B3A" w:rsidP="00F603B8">
      <w:pPr>
        <w:pStyle w:val="Listaconvietas"/>
        <w:numPr>
          <w:ilvl w:val="1"/>
          <w:numId w:val="11"/>
        </w:numPr>
        <w:rPr>
          <w:rFonts w:asciiTheme="majorHAnsi" w:hAnsiTheme="majorHAnsi" w:cstheme="majorHAnsi"/>
          <w:sz w:val="24"/>
          <w:szCs w:val="24"/>
          <w:lang w:val="es-CO"/>
        </w:rPr>
      </w:pPr>
      <w:r>
        <w:rPr>
          <w:rFonts w:asciiTheme="majorHAnsi" w:hAnsiTheme="majorHAnsi" w:cstheme="majorHAnsi"/>
          <w:sz w:val="24"/>
          <w:szCs w:val="24"/>
          <w:lang w:val="es-CO"/>
        </w:rPr>
        <w:t xml:space="preserve">Describir </w:t>
      </w:r>
      <w:r w:rsidR="009118C5">
        <w:rPr>
          <w:rFonts w:asciiTheme="majorHAnsi" w:hAnsiTheme="majorHAnsi" w:cstheme="majorHAnsi"/>
          <w:sz w:val="24"/>
          <w:szCs w:val="24"/>
          <w:lang w:val="es-CO"/>
        </w:rPr>
        <w:t>la naturaleza del</w:t>
      </w:r>
      <w:r>
        <w:rPr>
          <w:rFonts w:asciiTheme="majorHAnsi" w:hAnsiTheme="majorHAnsi" w:cstheme="majorHAnsi"/>
          <w:sz w:val="24"/>
          <w:szCs w:val="24"/>
          <w:lang w:val="es-CO"/>
        </w:rPr>
        <w:t xml:space="preserve"> índice</w:t>
      </w:r>
      <w:r w:rsidR="009118C5">
        <w:rPr>
          <w:rFonts w:asciiTheme="majorHAnsi" w:hAnsiTheme="majorHAnsi" w:cstheme="majorHAnsi"/>
          <w:sz w:val="24"/>
          <w:szCs w:val="24"/>
          <w:lang w:val="es-CO"/>
        </w:rPr>
        <w:t>. ¿Qué incluye?, ¿qué industria tiene en cuenta?</w:t>
      </w:r>
    </w:p>
    <w:p w14:paraId="2BF72DDD" w14:textId="77777777" w:rsidR="00F603B8" w:rsidRPr="00F603B8" w:rsidRDefault="00F603B8" w:rsidP="00F603B8">
      <w:pPr>
        <w:pStyle w:val="Listaconvietas"/>
        <w:numPr>
          <w:ilvl w:val="0"/>
          <w:numId w:val="0"/>
        </w:numPr>
        <w:ind w:left="360" w:hanging="360"/>
        <w:rPr>
          <w:rFonts w:asciiTheme="majorHAnsi" w:hAnsiTheme="majorHAnsi" w:cstheme="majorHAnsi"/>
          <w:b/>
          <w:bCs/>
          <w:sz w:val="24"/>
          <w:szCs w:val="24"/>
          <w:lang w:val="es-CO"/>
        </w:rPr>
      </w:pPr>
      <w:r w:rsidRPr="00F603B8">
        <w:rPr>
          <w:rFonts w:asciiTheme="majorHAnsi" w:hAnsiTheme="majorHAnsi" w:cstheme="majorHAnsi"/>
          <w:b/>
          <w:bCs/>
          <w:sz w:val="24"/>
          <w:szCs w:val="24"/>
          <w:lang w:val="es-CO"/>
        </w:rPr>
        <w:t>RTA:</w:t>
      </w:r>
    </w:p>
    <w:p w14:paraId="534B627C" w14:textId="77777777" w:rsidR="00F603B8" w:rsidRDefault="00F603B8" w:rsidP="00F603B8">
      <w:pPr>
        <w:pStyle w:val="Listaconvietas"/>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El índice tiene un carácter multisectorial y global, al integrar compañías líderes de</w:t>
      </w:r>
    </w:p>
    <w:p w14:paraId="10C5927B" w14:textId="77777777" w:rsidR="00F603B8" w:rsidRDefault="00F603B8" w:rsidP="00F603B8">
      <w:pPr>
        <w:pStyle w:val="Listaconvietas"/>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América, Europa y Asia junto con el S&amp;P 500 como referencia. Combina sectores</w:t>
      </w:r>
    </w:p>
    <w:p w14:paraId="0C306EE7" w14:textId="77777777" w:rsidR="00F603B8" w:rsidRDefault="00F603B8" w:rsidP="00F603B8">
      <w:pPr>
        <w:pStyle w:val="Listaconvietas"/>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estratégicos como la tecnología (Apple, Microsoft, Samsung), energía (ExxonMobil),</w:t>
      </w:r>
    </w:p>
    <w:p w14:paraId="61C4FB45" w14:textId="77777777" w:rsidR="00F603B8" w:rsidRDefault="00F603B8" w:rsidP="00F603B8">
      <w:pPr>
        <w:pStyle w:val="Listaconvietas"/>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industria e infraestructura (Siemens), consumo masivo (Nestlé), bienes de lujo (LVMH),</w:t>
      </w:r>
    </w:p>
    <w:p w14:paraId="4ED41078" w14:textId="77777777" w:rsidR="00F603B8" w:rsidRDefault="00F603B8" w:rsidP="00F603B8">
      <w:pPr>
        <w:pStyle w:val="Listaconvietas"/>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automotriz y movilidad (Toyota) y comercio electrónico (Alibaba), permitiendo reflejar</w:t>
      </w:r>
    </w:p>
    <w:p w14:paraId="245ECF17" w14:textId="77777777" w:rsidR="00F603B8" w:rsidRDefault="00F603B8" w:rsidP="00F603B8">
      <w:pPr>
        <w:pStyle w:val="Listaconvietas"/>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la evolución de la economía mundial y brindar una visión diversificada del desempeño</w:t>
      </w:r>
    </w:p>
    <w:p w14:paraId="66E30E64" w14:textId="6CEEE89D" w:rsidR="00F603B8" w:rsidRPr="00F603B8" w:rsidRDefault="00F603B8" w:rsidP="00F603B8">
      <w:pPr>
        <w:pStyle w:val="Listaconvietas"/>
        <w:numPr>
          <w:ilvl w:val="0"/>
          <w:numId w:val="0"/>
        </w:numPr>
        <w:ind w:left="360" w:hanging="360"/>
        <w:rPr>
          <w:rFonts w:asciiTheme="majorHAnsi" w:hAnsiTheme="majorHAnsi" w:cstheme="majorHAnsi"/>
          <w:sz w:val="24"/>
          <w:szCs w:val="24"/>
          <w:lang w:val="es-CO"/>
        </w:rPr>
      </w:pPr>
      <w:r w:rsidRPr="00F603B8">
        <w:rPr>
          <w:rFonts w:asciiTheme="majorHAnsi" w:hAnsiTheme="majorHAnsi" w:cstheme="majorHAnsi"/>
          <w:sz w:val="24"/>
          <w:szCs w:val="24"/>
          <w:lang w:val="es-CO"/>
        </w:rPr>
        <w:t>global.</w:t>
      </w:r>
    </w:p>
    <w:p w14:paraId="2D6247EE" w14:textId="77777777" w:rsidR="00F603B8" w:rsidRDefault="00416B3A" w:rsidP="00416B3A">
      <w:pPr>
        <w:pStyle w:val="Listaconvietas"/>
        <w:numPr>
          <w:ilvl w:val="1"/>
          <w:numId w:val="11"/>
        </w:numPr>
        <w:rPr>
          <w:rFonts w:asciiTheme="majorHAnsi" w:hAnsiTheme="majorHAnsi" w:cstheme="majorHAnsi"/>
          <w:sz w:val="24"/>
          <w:szCs w:val="24"/>
          <w:lang w:val="es-CO"/>
        </w:rPr>
      </w:pPr>
      <w:r>
        <w:rPr>
          <w:rFonts w:asciiTheme="majorHAnsi" w:hAnsiTheme="majorHAnsi" w:cstheme="majorHAnsi"/>
          <w:sz w:val="24"/>
          <w:szCs w:val="24"/>
          <w:lang w:val="es-CO"/>
        </w:rPr>
        <w:t xml:space="preserve">Hacer un gráfico de cajas bigotes para cada </w:t>
      </w:r>
      <w:proofErr w:type="spellStart"/>
      <w:r>
        <w:rPr>
          <w:rFonts w:asciiTheme="majorHAnsi" w:hAnsiTheme="majorHAnsi" w:cstheme="majorHAnsi"/>
          <w:sz w:val="24"/>
          <w:szCs w:val="24"/>
          <w:lang w:val="es-CO"/>
        </w:rPr>
        <w:t>security</w:t>
      </w:r>
      <w:proofErr w:type="spellEnd"/>
      <w:r>
        <w:rPr>
          <w:rFonts w:asciiTheme="majorHAnsi" w:hAnsiTheme="majorHAnsi" w:cstheme="majorHAnsi"/>
          <w:sz w:val="24"/>
          <w:szCs w:val="24"/>
          <w:lang w:val="es-CO"/>
        </w:rPr>
        <w:t>, mostrando los valores atípicos</w:t>
      </w:r>
      <w:r w:rsidR="009118C5">
        <w:rPr>
          <w:rFonts w:asciiTheme="majorHAnsi" w:hAnsiTheme="majorHAnsi" w:cstheme="majorHAnsi"/>
          <w:sz w:val="24"/>
          <w:szCs w:val="24"/>
          <w:lang w:val="es-CO"/>
        </w:rPr>
        <w:t>.</w:t>
      </w:r>
      <w:r w:rsidR="00F603B8" w:rsidRPr="00F603B8">
        <w:rPr>
          <w:rFonts w:asciiTheme="majorHAnsi" w:hAnsiTheme="majorHAnsi" w:cstheme="majorHAnsi"/>
          <w:noProof/>
          <w:sz w:val="24"/>
          <w:szCs w:val="24"/>
          <w:lang w:val="es-CO"/>
        </w:rPr>
        <w:t xml:space="preserve"> </w:t>
      </w:r>
    </w:p>
    <w:p w14:paraId="1DB94716" w14:textId="08B5469A" w:rsidR="00416B3A" w:rsidRDefault="00F603B8" w:rsidP="00F603B8">
      <w:pPr>
        <w:pStyle w:val="Listaconvietas"/>
        <w:numPr>
          <w:ilvl w:val="0"/>
          <w:numId w:val="0"/>
        </w:numPr>
        <w:ind w:left="360" w:hanging="360"/>
        <w:rPr>
          <w:rFonts w:asciiTheme="majorHAnsi" w:hAnsiTheme="majorHAnsi" w:cstheme="majorHAnsi"/>
          <w:sz w:val="24"/>
          <w:szCs w:val="24"/>
          <w:lang w:val="es-CO"/>
        </w:rPr>
      </w:pPr>
      <w:r>
        <w:rPr>
          <w:rFonts w:asciiTheme="majorHAnsi" w:hAnsiTheme="majorHAnsi" w:cstheme="majorHAnsi"/>
          <w:noProof/>
          <w:sz w:val="24"/>
          <w:szCs w:val="24"/>
          <w:lang w:val="es-CO"/>
        </w:rPr>
        <w:drawing>
          <wp:inline distT="0" distB="0" distL="0" distR="0" wp14:anchorId="1DF8B6C7" wp14:editId="6988B287">
            <wp:extent cx="5481320" cy="3175000"/>
            <wp:effectExtent l="0" t="0" r="5080" b="6350"/>
            <wp:docPr id="111563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320" cy="3175000"/>
                    </a:xfrm>
                    <a:prstGeom prst="rect">
                      <a:avLst/>
                    </a:prstGeom>
                    <a:noFill/>
                    <a:ln>
                      <a:noFill/>
                    </a:ln>
                  </pic:spPr>
                </pic:pic>
              </a:graphicData>
            </a:graphic>
          </wp:inline>
        </w:drawing>
      </w:r>
    </w:p>
    <w:p w14:paraId="56E565AA" w14:textId="2302D129" w:rsidR="00F603B8" w:rsidRDefault="00416B3A" w:rsidP="00F603B8">
      <w:pPr>
        <w:pStyle w:val="Listaconvietas"/>
        <w:numPr>
          <w:ilvl w:val="1"/>
          <w:numId w:val="11"/>
        </w:numPr>
        <w:rPr>
          <w:rFonts w:asciiTheme="majorHAnsi" w:hAnsiTheme="majorHAnsi" w:cstheme="majorHAnsi"/>
          <w:sz w:val="24"/>
          <w:szCs w:val="24"/>
          <w:lang w:val="es-CO"/>
        </w:rPr>
      </w:pPr>
      <w:r w:rsidRPr="005709EB">
        <w:rPr>
          <w:rFonts w:asciiTheme="majorHAnsi" w:hAnsiTheme="majorHAnsi" w:cstheme="majorHAnsi"/>
          <w:sz w:val="24"/>
          <w:szCs w:val="24"/>
          <w:lang w:val="es-CO"/>
        </w:rPr>
        <w:t>Construye tablas con promedio por Región y Año (20</w:t>
      </w:r>
      <w:r>
        <w:rPr>
          <w:rFonts w:asciiTheme="majorHAnsi" w:hAnsiTheme="majorHAnsi" w:cstheme="majorHAnsi"/>
          <w:sz w:val="24"/>
          <w:szCs w:val="24"/>
          <w:lang w:val="es-CO"/>
        </w:rPr>
        <w:t>1</w:t>
      </w:r>
      <w:r w:rsidR="00573A27">
        <w:rPr>
          <w:rFonts w:asciiTheme="majorHAnsi" w:hAnsiTheme="majorHAnsi" w:cstheme="majorHAnsi"/>
          <w:sz w:val="24"/>
          <w:szCs w:val="24"/>
          <w:lang w:val="es-CO"/>
        </w:rPr>
        <w:t>4</w:t>
      </w:r>
      <w:r w:rsidRPr="005709EB">
        <w:rPr>
          <w:rFonts w:asciiTheme="majorHAnsi" w:hAnsiTheme="majorHAnsi" w:cstheme="majorHAnsi"/>
          <w:sz w:val="24"/>
          <w:szCs w:val="24"/>
          <w:lang w:val="es-CO"/>
        </w:rPr>
        <w:t>–20</w:t>
      </w:r>
      <w:r>
        <w:rPr>
          <w:rFonts w:asciiTheme="majorHAnsi" w:hAnsiTheme="majorHAnsi" w:cstheme="majorHAnsi"/>
          <w:sz w:val="24"/>
          <w:szCs w:val="24"/>
          <w:lang w:val="es-CO"/>
        </w:rPr>
        <w:t>2</w:t>
      </w:r>
      <w:r w:rsidR="00573A27">
        <w:rPr>
          <w:rFonts w:asciiTheme="majorHAnsi" w:hAnsiTheme="majorHAnsi" w:cstheme="majorHAnsi"/>
          <w:sz w:val="24"/>
          <w:szCs w:val="24"/>
          <w:lang w:val="es-CO"/>
        </w:rPr>
        <w:t>4</w:t>
      </w:r>
      <w:r w:rsidRPr="005709EB">
        <w:rPr>
          <w:rFonts w:asciiTheme="majorHAnsi" w:hAnsiTheme="majorHAnsi" w:cstheme="majorHAnsi"/>
          <w:sz w:val="24"/>
          <w:szCs w:val="24"/>
          <w:lang w:val="es-CO"/>
        </w:rPr>
        <w:t>)</w:t>
      </w:r>
    </w:p>
    <w:p w14:paraId="3D5E60FF" w14:textId="48C4C943" w:rsidR="00F603B8" w:rsidRDefault="00F603B8" w:rsidP="00F603B8">
      <w:pPr>
        <w:pStyle w:val="Listaconvietas"/>
        <w:numPr>
          <w:ilvl w:val="0"/>
          <w:numId w:val="0"/>
        </w:numPr>
        <w:ind w:left="360" w:hanging="360"/>
        <w:rPr>
          <w:rFonts w:asciiTheme="majorHAnsi" w:hAnsiTheme="majorHAnsi" w:cstheme="majorHAnsi"/>
          <w:b/>
          <w:bCs/>
          <w:sz w:val="24"/>
          <w:szCs w:val="24"/>
          <w:lang w:val="es-CO"/>
        </w:rPr>
      </w:pPr>
      <w:r w:rsidRPr="00F603B8">
        <w:rPr>
          <w:rFonts w:asciiTheme="majorHAnsi" w:hAnsiTheme="majorHAnsi" w:cstheme="majorHAnsi"/>
          <w:b/>
          <w:bCs/>
          <w:sz w:val="24"/>
          <w:szCs w:val="24"/>
          <w:lang w:val="es-CO"/>
        </w:rPr>
        <w:lastRenderedPageBreak/>
        <w:t>RTA:</w:t>
      </w:r>
    </w:p>
    <w:p w14:paraId="3D033A47" w14:textId="233A3740" w:rsidR="00F603B8" w:rsidRPr="00F603B8" w:rsidRDefault="00A5620F" w:rsidP="00F603B8">
      <w:pPr>
        <w:pStyle w:val="Listaconvietas"/>
        <w:numPr>
          <w:ilvl w:val="0"/>
          <w:numId w:val="0"/>
        </w:numPr>
        <w:ind w:left="360" w:hanging="360"/>
        <w:rPr>
          <w:rFonts w:asciiTheme="majorHAnsi" w:hAnsiTheme="majorHAnsi" w:cstheme="majorHAnsi"/>
          <w:b/>
          <w:bCs/>
          <w:sz w:val="24"/>
          <w:szCs w:val="24"/>
          <w:lang w:val="es-CO"/>
        </w:rPr>
      </w:pPr>
      <w:r w:rsidRPr="00A5620F">
        <w:rPr>
          <w:rFonts w:asciiTheme="majorHAnsi" w:hAnsiTheme="majorHAnsi" w:cstheme="majorHAnsi"/>
          <w:b/>
          <w:bCs/>
          <w:noProof/>
          <w:sz w:val="24"/>
          <w:szCs w:val="24"/>
          <w:lang w:val="es-CO"/>
        </w:rPr>
        <w:drawing>
          <wp:inline distT="0" distB="0" distL="0" distR="0" wp14:anchorId="0B66626D" wp14:editId="75AC133C">
            <wp:extent cx="5486400" cy="2839085"/>
            <wp:effectExtent l="0" t="0" r="0" b="0"/>
            <wp:docPr id="169085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54760" name=""/>
                    <pic:cNvPicPr/>
                  </pic:nvPicPr>
                  <pic:blipFill>
                    <a:blip r:embed="rId8"/>
                    <a:stretch>
                      <a:fillRect/>
                    </a:stretch>
                  </pic:blipFill>
                  <pic:spPr>
                    <a:xfrm>
                      <a:off x="0" y="0"/>
                      <a:ext cx="5486400" cy="2839085"/>
                    </a:xfrm>
                    <a:prstGeom prst="rect">
                      <a:avLst/>
                    </a:prstGeom>
                  </pic:spPr>
                </pic:pic>
              </a:graphicData>
            </a:graphic>
          </wp:inline>
        </w:drawing>
      </w:r>
    </w:p>
    <w:p w14:paraId="0F8E6090" w14:textId="15A15C39" w:rsidR="00416B3A" w:rsidRDefault="00416B3A" w:rsidP="00416B3A">
      <w:pPr>
        <w:pStyle w:val="Listaconvietas"/>
        <w:numPr>
          <w:ilvl w:val="1"/>
          <w:numId w:val="11"/>
        </w:numPr>
        <w:rPr>
          <w:rFonts w:asciiTheme="majorHAnsi" w:hAnsiTheme="majorHAnsi" w:cstheme="majorHAnsi"/>
          <w:sz w:val="24"/>
          <w:szCs w:val="24"/>
          <w:lang w:val="es-CO"/>
        </w:rPr>
      </w:pPr>
      <w:r w:rsidRPr="005709EB">
        <w:rPr>
          <w:rFonts w:asciiTheme="majorHAnsi" w:hAnsiTheme="majorHAnsi" w:cstheme="majorHAnsi"/>
          <w:sz w:val="24"/>
          <w:szCs w:val="24"/>
          <w:lang w:val="es-CO"/>
        </w:rPr>
        <w:t>Haz un gráfico de línea con los promedios por año y comenta patrones</w:t>
      </w:r>
    </w:p>
    <w:p w14:paraId="3095020A" w14:textId="62C3FD46" w:rsidR="00A5620F" w:rsidRDefault="00A5620F" w:rsidP="00A5620F">
      <w:pPr>
        <w:pStyle w:val="Listaconvietas"/>
        <w:numPr>
          <w:ilvl w:val="0"/>
          <w:numId w:val="0"/>
        </w:numPr>
        <w:ind w:left="360" w:hanging="360"/>
        <w:rPr>
          <w:rFonts w:asciiTheme="majorHAnsi" w:hAnsiTheme="majorHAnsi" w:cstheme="majorHAnsi"/>
          <w:b/>
          <w:bCs/>
          <w:sz w:val="24"/>
          <w:szCs w:val="24"/>
          <w:lang w:val="es-CO"/>
        </w:rPr>
      </w:pPr>
      <w:r w:rsidRPr="00A5620F">
        <w:rPr>
          <w:rFonts w:asciiTheme="majorHAnsi" w:hAnsiTheme="majorHAnsi" w:cstheme="majorHAnsi"/>
          <w:b/>
          <w:bCs/>
          <w:sz w:val="24"/>
          <w:szCs w:val="24"/>
          <w:lang w:val="es-CO"/>
        </w:rPr>
        <w:t>RTA:</w:t>
      </w:r>
    </w:p>
    <w:p w14:paraId="6F286F0E" w14:textId="54FEED76" w:rsidR="00A5620F" w:rsidRPr="00A5620F" w:rsidRDefault="00A5620F" w:rsidP="00A5620F">
      <w:pPr>
        <w:pStyle w:val="Listaconvietas"/>
        <w:numPr>
          <w:ilvl w:val="0"/>
          <w:numId w:val="0"/>
        </w:numPr>
        <w:ind w:left="360" w:hanging="360"/>
        <w:rPr>
          <w:rFonts w:asciiTheme="majorHAnsi" w:hAnsiTheme="majorHAnsi" w:cstheme="majorHAnsi"/>
          <w:b/>
          <w:bCs/>
          <w:sz w:val="24"/>
          <w:szCs w:val="24"/>
          <w:lang w:val="es-CO"/>
        </w:rPr>
      </w:pPr>
      <w:r w:rsidRPr="00A5620F">
        <w:rPr>
          <w:rFonts w:asciiTheme="majorHAnsi" w:hAnsiTheme="majorHAnsi" w:cstheme="majorHAnsi"/>
          <w:b/>
          <w:bCs/>
          <w:noProof/>
          <w:sz w:val="24"/>
          <w:szCs w:val="24"/>
          <w:lang w:val="es-CO"/>
        </w:rPr>
        <w:drawing>
          <wp:inline distT="0" distB="0" distL="0" distR="0" wp14:anchorId="52E8A3F4" wp14:editId="41E7F3CA">
            <wp:extent cx="5486400" cy="3124835"/>
            <wp:effectExtent l="0" t="0" r="0" b="0"/>
            <wp:docPr id="955787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87506" name=""/>
                    <pic:cNvPicPr/>
                  </pic:nvPicPr>
                  <pic:blipFill>
                    <a:blip r:embed="rId9"/>
                    <a:stretch>
                      <a:fillRect/>
                    </a:stretch>
                  </pic:blipFill>
                  <pic:spPr>
                    <a:xfrm>
                      <a:off x="0" y="0"/>
                      <a:ext cx="5486400" cy="3124835"/>
                    </a:xfrm>
                    <a:prstGeom prst="rect">
                      <a:avLst/>
                    </a:prstGeom>
                  </pic:spPr>
                </pic:pic>
              </a:graphicData>
            </a:graphic>
          </wp:inline>
        </w:drawing>
      </w:r>
    </w:p>
    <w:p w14:paraId="2C36DEC3" w14:textId="2F033CA1" w:rsidR="00416B3A" w:rsidRPr="00F603B8" w:rsidRDefault="00573A27" w:rsidP="00573A27">
      <w:pPr>
        <w:pStyle w:val="Listaconvietas"/>
        <w:numPr>
          <w:ilvl w:val="0"/>
          <w:numId w:val="11"/>
        </w:numPr>
        <w:rPr>
          <w:rFonts w:asciiTheme="majorHAnsi" w:hAnsiTheme="majorHAnsi" w:cstheme="majorHAnsi"/>
          <w:sz w:val="24"/>
          <w:szCs w:val="24"/>
          <w:lang w:val="es-CO"/>
        </w:rPr>
      </w:pPr>
      <w:r>
        <w:rPr>
          <w:rFonts w:asciiTheme="majorHAnsi" w:hAnsiTheme="majorHAnsi" w:cstheme="majorHAnsi"/>
          <w:sz w:val="24"/>
          <w:szCs w:val="24"/>
          <w:lang w:val="es-CO"/>
        </w:rPr>
        <w:t xml:space="preserve">Construyamos el índice. </w:t>
      </w:r>
      <w:r w:rsidR="00416B3A" w:rsidRPr="005709EB">
        <w:rPr>
          <w:rFonts w:asciiTheme="majorHAnsi" w:hAnsiTheme="majorHAnsi" w:cstheme="majorHAnsi"/>
          <w:sz w:val="24"/>
          <w:szCs w:val="24"/>
          <w:lang w:val="es-CO"/>
        </w:rPr>
        <w:t>Para cada región y 20</w:t>
      </w:r>
      <w:r w:rsidR="00416B3A">
        <w:rPr>
          <w:rFonts w:asciiTheme="majorHAnsi" w:hAnsiTheme="majorHAnsi" w:cstheme="majorHAnsi"/>
          <w:sz w:val="24"/>
          <w:szCs w:val="24"/>
          <w:lang w:val="es-CO"/>
        </w:rPr>
        <w:t>15</w:t>
      </w:r>
      <w:r w:rsidR="00416B3A" w:rsidRPr="005709EB">
        <w:rPr>
          <w:rFonts w:asciiTheme="majorHAnsi" w:hAnsiTheme="majorHAnsi" w:cstheme="majorHAnsi"/>
          <w:sz w:val="24"/>
          <w:szCs w:val="24"/>
          <w:lang w:val="es-CO"/>
        </w:rPr>
        <w:t>–20</w:t>
      </w:r>
      <w:r w:rsidR="00416B3A">
        <w:rPr>
          <w:rFonts w:asciiTheme="majorHAnsi" w:hAnsiTheme="majorHAnsi" w:cstheme="majorHAnsi"/>
          <w:sz w:val="24"/>
          <w:szCs w:val="24"/>
          <w:lang w:val="es-CO"/>
        </w:rPr>
        <w:t>25</w:t>
      </w:r>
      <w:r w:rsidR="00416B3A" w:rsidRPr="005709EB">
        <w:rPr>
          <w:rFonts w:asciiTheme="majorHAnsi" w:hAnsiTheme="majorHAnsi" w:cstheme="majorHAnsi"/>
          <w:sz w:val="24"/>
          <w:szCs w:val="24"/>
          <w:lang w:val="es-CO"/>
        </w:rPr>
        <w:t xml:space="preserve">: </w:t>
      </w:r>
    </w:p>
    <w:p w14:paraId="703DB913" w14:textId="4C9141DB" w:rsidR="00573A27" w:rsidRPr="00B7058F" w:rsidRDefault="00416B3A" w:rsidP="006527C9">
      <w:pPr>
        <w:pStyle w:val="Listaconvietas"/>
        <w:numPr>
          <w:ilvl w:val="1"/>
          <w:numId w:val="11"/>
        </w:numPr>
        <w:tabs>
          <w:tab w:val="num" w:pos="1440"/>
        </w:tabs>
        <w:rPr>
          <w:rFonts w:asciiTheme="majorHAnsi" w:hAnsiTheme="majorHAnsi" w:cstheme="majorHAnsi"/>
          <w:sz w:val="24"/>
          <w:szCs w:val="24"/>
          <w:lang w:val="es-CO"/>
        </w:rPr>
      </w:pPr>
      <w:r w:rsidRPr="00B7058F">
        <w:rPr>
          <w:rFonts w:asciiTheme="majorHAnsi" w:hAnsiTheme="majorHAnsi" w:cstheme="majorHAnsi"/>
          <w:sz w:val="24"/>
          <w:szCs w:val="24"/>
          <w:lang w:val="es-CO"/>
        </w:rPr>
        <w:t>Crea</w:t>
      </w:r>
      <w:r w:rsidR="00B7058F" w:rsidRPr="00B7058F">
        <w:rPr>
          <w:rFonts w:asciiTheme="majorHAnsi" w:hAnsiTheme="majorHAnsi" w:cstheme="majorHAnsi"/>
          <w:sz w:val="24"/>
          <w:szCs w:val="24"/>
          <w:lang w:val="es-CO"/>
        </w:rPr>
        <w:t>r</w:t>
      </w:r>
      <w:r w:rsidRPr="00B7058F">
        <w:rPr>
          <w:rFonts w:asciiTheme="majorHAnsi" w:hAnsiTheme="majorHAnsi" w:cstheme="majorHAnsi"/>
          <w:sz w:val="24"/>
          <w:szCs w:val="24"/>
          <w:lang w:val="es-CO"/>
        </w:rPr>
        <w:t xml:space="preserve"> </w:t>
      </w:r>
      <w:r w:rsidR="00573A27" w:rsidRPr="00B7058F">
        <w:rPr>
          <w:rFonts w:asciiTheme="majorHAnsi" w:hAnsiTheme="majorHAnsi" w:cstheme="majorHAnsi"/>
          <w:sz w:val="24"/>
          <w:szCs w:val="24"/>
          <w:lang w:val="es-CO"/>
        </w:rPr>
        <w:t>pesos según el volumen de transacciones inicial</w:t>
      </w:r>
      <w:r w:rsidRPr="00B7058F">
        <w:rPr>
          <w:rFonts w:asciiTheme="majorHAnsi" w:hAnsiTheme="majorHAnsi" w:cstheme="majorHAnsi"/>
          <w:sz w:val="24"/>
          <w:szCs w:val="24"/>
          <w:lang w:val="es-CO"/>
        </w:rPr>
        <w:t xml:space="preserve"> (en 2015) sobre el total </w:t>
      </w:r>
      <w:r w:rsidR="00573A27" w:rsidRPr="00B7058F">
        <w:rPr>
          <w:rFonts w:asciiTheme="majorHAnsi" w:hAnsiTheme="majorHAnsi" w:cstheme="majorHAnsi"/>
          <w:sz w:val="24"/>
          <w:szCs w:val="24"/>
          <w:lang w:val="es-CO"/>
        </w:rPr>
        <w:t>del índice</w:t>
      </w:r>
      <w:r w:rsidRPr="00B7058F">
        <w:rPr>
          <w:rFonts w:asciiTheme="majorHAnsi" w:hAnsiTheme="majorHAnsi" w:cstheme="majorHAnsi"/>
          <w:sz w:val="24"/>
          <w:szCs w:val="24"/>
          <w:lang w:val="es-CO"/>
        </w:rPr>
        <w:t xml:space="preserve">. </w:t>
      </w:r>
      <w:r w:rsidR="00B7058F">
        <w:rPr>
          <w:rFonts w:asciiTheme="majorHAnsi" w:hAnsiTheme="majorHAnsi" w:cstheme="majorHAnsi"/>
          <w:sz w:val="24"/>
          <w:szCs w:val="24"/>
          <w:lang w:val="es-CO"/>
        </w:rPr>
        <w:t xml:space="preserve"> </w:t>
      </w:r>
      <w:r w:rsidRPr="00B7058F">
        <w:rPr>
          <w:rFonts w:asciiTheme="majorHAnsi" w:hAnsiTheme="majorHAnsi" w:cstheme="majorHAnsi"/>
          <w:sz w:val="24"/>
          <w:szCs w:val="24"/>
          <w:lang w:val="es-CO"/>
        </w:rPr>
        <w:t>Verifica</w:t>
      </w:r>
      <w:r w:rsidR="00B7058F" w:rsidRPr="00B7058F">
        <w:rPr>
          <w:rFonts w:asciiTheme="majorHAnsi" w:hAnsiTheme="majorHAnsi" w:cstheme="majorHAnsi"/>
          <w:sz w:val="24"/>
          <w:szCs w:val="24"/>
          <w:lang w:val="es-CO"/>
        </w:rPr>
        <w:t>r</w:t>
      </w:r>
      <w:r w:rsidRPr="00B7058F">
        <w:rPr>
          <w:rFonts w:asciiTheme="majorHAnsi" w:hAnsiTheme="majorHAnsi" w:cstheme="majorHAnsi"/>
          <w:sz w:val="24"/>
          <w:szCs w:val="24"/>
          <w:lang w:val="es-CO"/>
        </w:rPr>
        <w:t xml:space="preserve"> que sumen 1. </w:t>
      </w:r>
    </w:p>
    <w:p w14:paraId="7A65C9B8" w14:textId="520358FB" w:rsidR="00573A27" w:rsidRDefault="00416B3A" w:rsidP="009118C5">
      <w:pPr>
        <w:pStyle w:val="Listaconvietas"/>
        <w:numPr>
          <w:ilvl w:val="1"/>
          <w:numId w:val="11"/>
        </w:numPr>
        <w:rPr>
          <w:rFonts w:asciiTheme="majorHAnsi" w:hAnsiTheme="majorHAnsi" w:cstheme="majorHAnsi"/>
          <w:sz w:val="24"/>
          <w:szCs w:val="24"/>
          <w:lang w:val="es-CO"/>
        </w:rPr>
      </w:pPr>
      <w:r w:rsidRPr="005709EB">
        <w:rPr>
          <w:rFonts w:asciiTheme="majorHAnsi" w:hAnsiTheme="majorHAnsi" w:cstheme="majorHAnsi"/>
          <w:sz w:val="24"/>
          <w:szCs w:val="24"/>
          <w:lang w:val="es-CO"/>
        </w:rPr>
        <w:t>Calcula</w:t>
      </w:r>
      <w:r w:rsidR="00B7058F">
        <w:rPr>
          <w:rFonts w:asciiTheme="majorHAnsi" w:hAnsiTheme="majorHAnsi" w:cstheme="majorHAnsi"/>
          <w:sz w:val="24"/>
          <w:szCs w:val="24"/>
          <w:lang w:val="es-CO"/>
        </w:rPr>
        <w:t>r</w:t>
      </w:r>
      <w:r w:rsidRPr="005709EB">
        <w:rPr>
          <w:rFonts w:asciiTheme="majorHAnsi" w:hAnsiTheme="majorHAnsi" w:cstheme="majorHAnsi"/>
          <w:sz w:val="24"/>
          <w:szCs w:val="24"/>
          <w:lang w:val="es-CO"/>
        </w:rPr>
        <w:t xml:space="preserve"> promedio ponderado del indicador de cuentas bancarias. </w:t>
      </w:r>
    </w:p>
    <w:p w14:paraId="39F7D4C6" w14:textId="1930A05E" w:rsidR="009118C5" w:rsidRDefault="00416B3A" w:rsidP="009118C5">
      <w:pPr>
        <w:pStyle w:val="Listaconvietas"/>
        <w:numPr>
          <w:ilvl w:val="1"/>
          <w:numId w:val="11"/>
        </w:numPr>
        <w:rPr>
          <w:rFonts w:asciiTheme="majorHAnsi" w:hAnsiTheme="majorHAnsi" w:cstheme="majorHAnsi"/>
          <w:sz w:val="24"/>
          <w:szCs w:val="24"/>
          <w:lang w:val="es-CO"/>
        </w:rPr>
      </w:pPr>
      <w:r w:rsidRPr="007A71B2">
        <w:rPr>
          <w:rFonts w:asciiTheme="majorHAnsi" w:hAnsiTheme="majorHAnsi" w:cstheme="majorHAnsi"/>
          <w:sz w:val="24"/>
          <w:szCs w:val="24"/>
          <w:lang w:val="es-CO"/>
        </w:rPr>
        <w:t>Compara</w:t>
      </w:r>
      <w:r w:rsidR="00B7058F">
        <w:rPr>
          <w:rFonts w:asciiTheme="majorHAnsi" w:hAnsiTheme="majorHAnsi" w:cstheme="majorHAnsi"/>
          <w:sz w:val="24"/>
          <w:szCs w:val="24"/>
          <w:lang w:val="es-CO"/>
        </w:rPr>
        <w:t>r</w:t>
      </w:r>
      <w:r w:rsidRPr="007A71B2">
        <w:rPr>
          <w:rFonts w:asciiTheme="majorHAnsi" w:hAnsiTheme="majorHAnsi" w:cstheme="majorHAnsi"/>
          <w:sz w:val="24"/>
          <w:szCs w:val="24"/>
          <w:lang w:val="es-CO"/>
        </w:rPr>
        <w:t xml:space="preserve"> con promedios simples.</w:t>
      </w:r>
      <w:r w:rsidR="00B7058F">
        <w:rPr>
          <w:rFonts w:asciiTheme="majorHAnsi" w:hAnsiTheme="majorHAnsi" w:cstheme="majorHAnsi"/>
          <w:sz w:val="24"/>
          <w:szCs w:val="24"/>
          <w:lang w:val="es-CO"/>
        </w:rPr>
        <w:t xml:space="preserve"> ¿Hay diferencias?, ¿por qué?</w:t>
      </w:r>
    </w:p>
    <w:p w14:paraId="282318E9" w14:textId="77777777" w:rsidR="00F5692D" w:rsidRDefault="00F5692D" w:rsidP="00F5692D">
      <w:pPr>
        <w:pStyle w:val="Listaconvietas"/>
        <w:numPr>
          <w:ilvl w:val="0"/>
          <w:numId w:val="0"/>
        </w:numPr>
        <w:ind w:left="720"/>
        <w:rPr>
          <w:lang w:val="es-CO"/>
        </w:rPr>
      </w:pPr>
      <w:r>
        <w:rPr>
          <w:rFonts w:asciiTheme="majorHAnsi" w:hAnsiTheme="majorHAnsi" w:cstheme="majorHAnsi"/>
          <w:b/>
          <w:bCs/>
          <w:sz w:val="24"/>
          <w:szCs w:val="24"/>
          <w:lang w:val="es-CO"/>
        </w:rPr>
        <w:t>RTA:</w:t>
      </w:r>
      <w:r w:rsidRPr="00F5692D">
        <w:rPr>
          <w:lang w:val="es-CO"/>
        </w:rPr>
        <w:t xml:space="preserve"> </w:t>
      </w:r>
    </w:p>
    <w:p w14:paraId="29C4048C" w14:textId="2AA82E24" w:rsidR="00F5692D" w:rsidRPr="00F5692D" w:rsidRDefault="00F5692D" w:rsidP="00F5692D">
      <w:pPr>
        <w:pStyle w:val="Listaconvietas"/>
        <w:numPr>
          <w:ilvl w:val="0"/>
          <w:numId w:val="0"/>
        </w:numPr>
        <w:ind w:left="360" w:hanging="360"/>
        <w:rPr>
          <w:lang w:val="es-CO"/>
        </w:rPr>
      </w:pPr>
      <w:r w:rsidRPr="00F5692D">
        <w:rPr>
          <w:lang w:val="es-CO"/>
        </w:rPr>
        <w:t xml:space="preserve">Usando el 01/01/2014 como ejemplo, </w:t>
      </w:r>
    </w:p>
    <w:p w14:paraId="79886F69" w14:textId="0F688751" w:rsidR="00F5692D" w:rsidRPr="00F5692D" w:rsidRDefault="00F5692D" w:rsidP="00F5692D">
      <w:pPr>
        <w:pStyle w:val="Listaconvietas"/>
        <w:ind w:left="720"/>
        <w:rPr>
          <w:lang w:val="es-CO"/>
        </w:rPr>
      </w:pPr>
      <w:r w:rsidRPr="00F5692D">
        <w:rPr>
          <w:lang w:val="es-CO"/>
        </w:rPr>
        <w:lastRenderedPageBreak/>
        <w:t xml:space="preserve">USA: Ponderado = 178,263,327 vs. Simple = 99,119,634 </w:t>
      </w:r>
      <w:r w:rsidRPr="00F5692D">
        <w:rPr>
          <w:rFonts w:hint="eastAsia"/>
          <w:lang w:val="es-CO"/>
        </w:rPr>
        <w:t>→</w:t>
      </w:r>
      <w:r w:rsidRPr="00F5692D">
        <w:rPr>
          <w:lang w:val="es-CO"/>
        </w:rPr>
        <w:t xml:space="preserve"> ≈ +80%</w:t>
      </w:r>
    </w:p>
    <w:p w14:paraId="022718B8" w14:textId="77777777" w:rsidR="00F5692D" w:rsidRPr="00F5692D" w:rsidRDefault="00F5692D" w:rsidP="00F5692D">
      <w:pPr>
        <w:pStyle w:val="Listaconvietas"/>
        <w:ind w:left="720"/>
        <w:rPr>
          <w:lang w:val="es-CO"/>
        </w:rPr>
      </w:pPr>
      <w:r w:rsidRPr="00F5692D">
        <w:rPr>
          <w:lang w:val="es-CO"/>
        </w:rPr>
        <w:t xml:space="preserve">Europa: Ponderado = 4,212,637 vs. Simple = 2,943,880 </w:t>
      </w:r>
      <w:r w:rsidRPr="00F5692D">
        <w:rPr>
          <w:rFonts w:hint="eastAsia"/>
          <w:lang w:val="es-CO"/>
        </w:rPr>
        <w:t>→</w:t>
      </w:r>
      <w:r w:rsidRPr="00F5692D">
        <w:rPr>
          <w:lang w:val="es-CO"/>
        </w:rPr>
        <w:t xml:space="preserve"> ≈ +43%</w:t>
      </w:r>
    </w:p>
    <w:p w14:paraId="666A37A2" w14:textId="659D0316" w:rsidR="00F5692D" w:rsidRDefault="00F5692D" w:rsidP="00F5692D">
      <w:pPr>
        <w:pStyle w:val="Listaconvietas"/>
        <w:ind w:left="720"/>
        <w:rPr>
          <w:lang w:val="es-CO"/>
        </w:rPr>
      </w:pPr>
      <w:r w:rsidRPr="00F5692D">
        <w:rPr>
          <w:lang w:val="es-CO"/>
        </w:rPr>
        <w:t xml:space="preserve">Asia: Ponderado = 61,571,083 vs. Simple = 55,607,193 </w:t>
      </w:r>
      <w:r w:rsidRPr="00F5692D">
        <w:rPr>
          <w:rFonts w:hint="eastAsia"/>
          <w:lang w:val="es-CO"/>
        </w:rPr>
        <w:t>→</w:t>
      </w:r>
      <w:r w:rsidRPr="00F5692D">
        <w:rPr>
          <w:lang w:val="es-CO"/>
        </w:rPr>
        <w:t xml:space="preserve"> ≈ +11%</w:t>
      </w:r>
    </w:p>
    <w:p w14:paraId="23D89D9A" w14:textId="4030B882" w:rsidR="00F5692D" w:rsidRDefault="00F5692D" w:rsidP="00F5692D">
      <w:pPr>
        <w:pStyle w:val="Listaconvietas"/>
        <w:numPr>
          <w:ilvl w:val="0"/>
          <w:numId w:val="0"/>
        </w:numPr>
        <w:ind w:left="360"/>
        <w:rPr>
          <w:rFonts w:asciiTheme="majorHAnsi" w:hAnsiTheme="majorHAnsi" w:cstheme="majorHAnsi"/>
          <w:sz w:val="24"/>
          <w:szCs w:val="24"/>
          <w:lang w:val="es-CO"/>
        </w:rPr>
      </w:pPr>
      <w:r w:rsidRPr="00F5692D">
        <w:rPr>
          <w:rFonts w:asciiTheme="majorHAnsi" w:hAnsiTheme="majorHAnsi" w:cstheme="majorHAnsi"/>
          <w:sz w:val="24"/>
          <w:szCs w:val="24"/>
          <w:lang w:val="es-CO"/>
        </w:rPr>
        <w:t>Sí, hay diferencias. El ponderado refleja la estructura de mercado (más peso a quienes mueven más volumen en 2014), mientras que el simple reparte por igual. Cuanto más concentrada esté la región en pocas acciones de gran volumen, más grande será la brecha entre ambos.</w:t>
      </w:r>
    </w:p>
    <w:p w14:paraId="062F12D6" w14:textId="77777777" w:rsidR="00F5692D" w:rsidRDefault="00F5692D" w:rsidP="00F5692D">
      <w:pPr>
        <w:pStyle w:val="Listaconvietas"/>
        <w:numPr>
          <w:ilvl w:val="0"/>
          <w:numId w:val="0"/>
        </w:numPr>
        <w:ind w:left="360"/>
        <w:rPr>
          <w:rFonts w:asciiTheme="majorHAnsi" w:hAnsiTheme="majorHAnsi" w:cstheme="majorHAnsi"/>
          <w:sz w:val="24"/>
          <w:szCs w:val="24"/>
          <w:lang w:val="es-CO"/>
        </w:rPr>
      </w:pPr>
    </w:p>
    <w:p w14:paraId="2A5157F2" w14:textId="77777777" w:rsidR="00F5692D" w:rsidRDefault="00F5692D" w:rsidP="00F5692D">
      <w:pPr>
        <w:pStyle w:val="Listaconvietas"/>
        <w:numPr>
          <w:ilvl w:val="0"/>
          <w:numId w:val="0"/>
        </w:numPr>
        <w:ind w:left="360"/>
        <w:rPr>
          <w:rFonts w:asciiTheme="majorHAnsi" w:hAnsiTheme="majorHAnsi" w:cstheme="majorHAnsi"/>
          <w:sz w:val="24"/>
          <w:szCs w:val="24"/>
          <w:lang w:val="es-CO"/>
        </w:rPr>
      </w:pPr>
    </w:p>
    <w:p w14:paraId="754DE275" w14:textId="77777777" w:rsidR="00F5692D" w:rsidRPr="00F5692D" w:rsidRDefault="00F5692D" w:rsidP="00F5692D">
      <w:pPr>
        <w:pStyle w:val="Listaconvietas"/>
        <w:numPr>
          <w:ilvl w:val="0"/>
          <w:numId w:val="0"/>
        </w:numPr>
        <w:ind w:left="360"/>
        <w:rPr>
          <w:rFonts w:asciiTheme="majorHAnsi" w:hAnsiTheme="majorHAnsi" w:cstheme="majorHAnsi"/>
          <w:sz w:val="24"/>
          <w:szCs w:val="24"/>
          <w:lang w:val="es-CO"/>
        </w:rPr>
      </w:pPr>
    </w:p>
    <w:p w14:paraId="3A537BEC" w14:textId="253C0B69" w:rsidR="00573A27" w:rsidRPr="00573A27" w:rsidRDefault="00573A27" w:rsidP="00573A27">
      <w:pPr>
        <w:pStyle w:val="Listaconvietas"/>
        <w:numPr>
          <w:ilvl w:val="0"/>
          <w:numId w:val="11"/>
        </w:numPr>
        <w:rPr>
          <w:rFonts w:asciiTheme="majorHAnsi" w:hAnsiTheme="majorHAnsi" w:cstheme="majorHAnsi"/>
          <w:sz w:val="24"/>
          <w:szCs w:val="24"/>
          <w:lang w:val="es-CO"/>
        </w:rPr>
      </w:pPr>
      <w:r>
        <w:rPr>
          <w:rFonts w:asciiTheme="majorHAnsi" w:hAnsiTheme="majorHAnsi" w:cstheme="majorHAnsi"/>
          <w:sz w:val="24"/>
          <w:szCs w:val="24"/>
          <w:lang w:val="es-CO"/>
        </w:rPr>
        <w:t xml:space="preserve">Mundo antes y después del COVID. </w:t>
      </w:r>
      <w:r w:rsidRPr="00573A27">
        <w:rPr>
          <w:rFonts w:asciiTheme="majorHAnsi" w:hAnsiTheme="majorHAnsi" w:cstheme="majorHAnsi"/>
          <w:sz w:val="24"/>
          <w:szCs w:val="24"/>
          <w:lang w:val="es-CO"/>
        </w:rPr>
        <w:t xml:space="preserve">Para 2014 y 2024: </w:t>
      </w:r>
    </w:p>
    <w:p w14:paraId="2FC5D471" w14:textId="6E65DDE8" w:rsidR="00573A27" w:rsidRDefault="00573A27" w:rsidP="00573A27">
      <w:pPr>
        <w:pStyle w:val="Listaconvietas"/>
        <w:numPr>
          <w:ilvl w:val="1"/>
          <w:numId w:val="11"/>
        </w:numPr>
        <w:rPr>
          <w:rFonts w:asciiTheme="majorHAnsi" w:hAnsiTheme="majorHAnsi" w:cstheme="majorHAnsi"/>
          <w:sz w:val="24"/>
          <w:szCs w:val="24"/>
          <w:lang w:val="es-CO"/>
        </w:rPr>
      </w:pPr>
      <w:r w:rsidRPr="005709EB">
        <w:rPr>
          <w:rFonts w:asciiTheme="majorHAnsi" w:hAnsiTheme="majorHAnsi" w:cstheme="majorHAnsi"/>
          <w:sz w:val="24"/>
          <w:szCs w:val="24"/>
          <w:lang w:val="es-CO"/>
        </w:rPr>
        <w:t xml:space="preserve">Tablas dinámicas con promedios por región/ingreso y año. </w:t>
      </w:r>
    </w:p>
    <w:p w14:paraId="18066B29" w14:textId="21D8C915" w:rsidR="007B273E" w:rsidRPr="007B273E" w:rsidRDefault="007B273E" w:rsidP="007B273E">
      <w:pPr>
        <w:pStyle w:val="Listaconvietas"/>
        <w:numPr>
          <w:ilvl w:val="0"/>
          <w:numId w:val="0"/>
        </w:numPr>
        <w:ind w:left="360" w:hanging="360"/>
        <w:rPr>
          <w:rFonts w:asciiTheme="majorHAnsi" w:hAnsiTheme="majorHAnsi" w:cstheme="majorHAnsi"/>
          <w:b/>
          <w:bCs/>
          <w:sz w:val="24"/>
          <w:szCs w:val="24"/>
          <w:lang w:val="es-CO"/>
        </w:rPr>
      </w:pPr>
      <w:r w:rsidRPr="007B273E">
        <w:rPr>
          <w:rFonts w:asciiTheme="majorHAnsi" w:hAnsiTheme="majorHAnsi" w:cstheme="majorHAnsi"/>
          <w:b/>
          <w:bCs/>
          <w:sz w:val="24"/>
          <w:szCs w:val="24"/>
          <w:lang w:val="es-CO"/>
        </w:rPr>
        <w:t>RTA:</w:t>
      </w:r>
    </w:p>
    <w:p w14:paraId="6DCFEAA3" w14:textId="6451ADF7" w:rsidR="007B273E" w:rsidRPr="00F603B8" w:rsidRDefault="007B273E" w:rsidP="007B273E">
      <w:pPr>
        <w:pStyle w:val="Listaconvietas"/>
        <w:numPr>
          <w:ilvl w:val="0"/>
          <w:numId w:val="0"/>
        </w:numPr>
        <w:ind w:left="360" w:hanging="360"/>
        <w:rPr>
          <w:rFonts w:asciiTheme="majorHAnsi" w:hAnsiTheme="majorHAnsi" w:cstheme="majorHAnsi"/>
          <w:sz w:val="24"/>
          <w:szCs w:val="24"/>
          <w:lang w:val="es-CO"/>
        </w:rPr>
      </w:pPr>
      <w:r w:rsidRPr="007B273E">
        <w:rPr>
          <w:rFonts w:asciiTheme="majorHAnsi" w:hAnsiTheme="majorHAnsi" w:cstheme="majorHAnsi"/>
          <w:noProof/>
          <w:sz w:val="24"/>
          <w:szCs w:val="24"/>
          <w:lang w:val="es-CO"/>
        </w:rPr>
        <w:drawing>
          <wp:inline distT="0" distB="0" distL="0" distR="0" wp14:anchorId="2C8BBAD8" wp14:editId="7CC817D5">
            <wp:extent cx="5486400" cy="923925"/>
            <wp:effectExtent l="0" t="0" r="0" b="9525"/>
            <wp:docPr id="104905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53915" name=""/>
                    <pic:cNvPicPr/>
                  </pic:nvPicPr>
                  <pic:blipFill>
                    <a:blip r:embed="rId10"/>
                    <a:stretch>
                      <a:fillRect/>
                    </a:stretch>
                  </pic:blipFill>
                  <pic:spPr>
                    <a:xfrm>
                      <a:off x="0" y="0"/>
                      <a:ext cx="5486400" cy="923925"/>
                    </a:xfrm>
                    <a:prstGeom prst="rect">
                      <a:avLst/>
                    </a:prstGeom>
                  </pic:spPr>
                </pic:pic>
              </a:graphicData>
            </a:graphic>
          </wp:inline>
        </w:drawing>
      </w:r>
    </w:p>
    <w:p w14:paraId="5373C65F" w14:textId="1480102A" w:rsidR="00573A27" w:rsidRPr="007B273E" w:rsidRDefault="00573A27" w:rsidP="00573A27">
      <w:pPr>
        <w:pStyle w:val="Listaconvietas"/>
        <w:numPr>
          <w:ilvl w:val="1"/>
          <w:numId w:val="11"/>
        </w:numPr>
        <w:rPr>
          <w:rFonts w:asciiTheme="majorHAnsi" w:hAnsiTheme="majorHAnsi" w:cstheme="majorHAnsi"/>
          <w:sz w:val="24"/>
          <w:szCs w:val="24"/>
        </w:rPr>
      </w:pPr>
      <w:r w:rsidRPr="005709EB">
        <w:rPr>
          <w:rFonts w:asciiTheme="majorHAnsi" w:hAnsiTheme="majorHAnsi" w:cstheme="majorHAnsi"/>
          <w:sz w:val="24"/>
          <w:szCs w:val="24"/>
          <w:lang w:val="es-CO"/>
        </w:rPr>
        <w:t>Columna con diferencia (20</w:t>
      </w:r>
      <w:r>
        <w:rPr>
          <w:rFonts w:asciiTheme="majorHAnsi" w:hAnsiTheme="majorHAnsi" w:cstheme="majorHAnsi"/>
          <w:sz w:val="24"/>
          <w:szCs w:val="24"/>
          <w:lang w:val="es-CO"/>
        </w:rPr>
        <w:t>2</w:t>
      </w:r>
      <w:r w:rsidRPr="005709EB">
        <w:rPr>
          <w:rFonts w:asciiTheme="majorHAnsi" w:hAnsiTheme="majorHAnsi" w:cstheme="majorHAnsi"/>
          <w:sz w:val="24"/>
          <w:szCs w:val="24"/>
          <w:lang w:val="es-CO"/>
        </w:rPr>
        <w:t>4–20</w:t>
      </w:r>
      <w:r>
        <w:rPr>
          <w:rFonts w:asciiTheme="majorHAnsi" w:hAnsiTheme="majorHAnsi" w:cstheme="majorHAnsi"/>
          <w:sz w:val="24"/>
          <w:szCs w:val="24"/>
          <w:lang w:val="es-CO"/>
        </w:rPr>
        <w:t>14</w:t>
      </w:r>
      <w:r w:rsidRPr="005709EB">
        <w:rPr>
          <w:rFonts w:asciiTheme="majorHAnsi" w:hAnsiTheme="majorHAnsi" w:cstheme="majorHAnsi"/>
          <w:sz w:val="24"/>
          <w:szCs w:val="24"/>
          <w:lang w:val="es-CO"/>
        </w:rPr>
        <w:t xml:space="preserve">). </w:t>
      </w:r>
    </w:p>
    <w:p w14:paraId="64D3B33D" w14:textId="3A51308A" w:rsidR="007B273E" w:rsidRPr="007B273E" w:rsidRDefault="007B273E" w:rsidP="007B273E">
      <w:pPr>
        <w:pStyle w:val="Listaconvietas"/>
        <w:numPr>
          <w:ilvl w:val="0"/>
          <w:numId w:val="0"/>
        </w:numPr>
        <w:ind w:left="360" w:hanging="360"/>
        <w:rPr>
          <w:rFonts w:asciiTheme="majorHAnsi" w:hAnsiTheme="majorHAnsi" w:cstheme="majorHAnsi"/>
          <w:b/>
          <w:bCs/>
          <w:sz w:val="24"/>
          <w:szCs w:val="24"/>
        </w:rPr>
      </w:pPr>
      <w:r w:rsidRPr="007B273E">
        <w:rPr>
          <w:rFonts w:asciiTheme="majorHAnsi" w:hAnsiTheme="majorHAnsi" w:cstheme="majorHAnsi"/>
          <w:b/>
          <w:bCs/>
          <w:sz w:val="24"/>
          <w:szCs w:val="24"/>
        </w:rPr>
        <w:t>RTA:</w:t>
      </w:r>
    </w:p>
    <w:p w14:paraId="7987C969" w14:textId="3D21E067" w:rsidR="007B273E" w:rsidRPr="005709EB" w:rsidRDefault="007B273E" w:rsidP="007B273E">
      <w:pPr>
        <w:pStyle w:val="Listaconvietas"/>
        <w:numPr>
          <w:ilvl w:val="0"/>
          <w:numId w:val="0"/>
        </w:numPr>
        <w:ind w:left="360" w:hanging="360"/>
        <w:rPr>
          <w:rFonts w:asciiTheme="majorHAnsi" w:hAnsiTheme="majorHAnsi" w:cstheme="majorHAnsi"/>
          <w:sz w:val="24"/>
          <w:szCs w:val="24"/>
        </w:rPr>
      </w:pPr>
      <w:r w:rsidRPr="007B273E">
        <w:rPr>
          <w:rFonts w:asciiTheme="majorHAnsi" w:hAnsiTheme="majorHAnsi" w:cstheme="majorHAnsi"/>
          <w:noProof/>
          <w:sz w:val="24"/>
          <w:szCs w:val="24"/>
        </w:rPr>
        <w:drawing>
          <wp:inline distT="0" distB="0" distL="0" distR="0" wp14:anchorId="57AAAD4D" wp14:editId="6D1AFBCB">
            <wp:extent cx="5486400" cy="916305"/>
            <wp:effectExtent l="0" t="0" r="0" b="0"/>
            <wp:docPr id="163126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64505" name=""/>
                    <pic:cNvPicPr/>
                  </pic:nvPicPr>
                  <pic:blipFill>
                    <a:blip r:embed="rId11"/>
                    <a:stretch>
                      <a:fillRect/>
                    </a:stretch>
                  </pic:blipFill>
                  <pic:spPr>
                    <a:xfrm>
                      <a:off x="0" y="0"/>
                      <a:ext cx="5486400" cy="916305"/>
                    </a:xfrm>
                    <a:prstGeom prst="rect">
                      <a:avLst/>
                    </a:prstGeom>
                  </pic:spPr>
                </pic:pic>
              </a:graphicData>
            </a:graphic>
          </wp:inline>
        </w:drawing>
      </w:r>
    </w:p>
    <w:p w14:paraId="1B8E03C1" w14:textId="7456B217" w:rsidR="00573A27" w:rsidRDefault="00573A27" w:rsidP="00573A27">
      <w:pPr>
        <w:pStyle w:val="Listaconvietas"/>
        <w:numPr>
          <w:ilvl w:val="1"/>
          <w:numId w:val="11"/>
        </w:numPr>
        <w:rPr>
          <w:rFonts w:asciiTheme="majorHAnsi" w:hAnsiTheme="majorHAnsi" w:cstheme="majorHAnsi"/>
          <w:sz w:val="24"/>
          <w:szCs w:val="24"/>
          <w:lang w:val="es-CO"/>
        </w:rPr>
      </w:pPr>
      <w:r w:rsidRPr="005709EB">
        <w:rPr>
          <w:rFonts w:asciiTheme="majorHAnsi" w:hAnsiTheme="majorHAnsi" w:cstheme="majorHAnsi"/>
          <w:sz w:val="24"/>
          <w:szCs w:val="24"/>
          <w:lang w:val="es-CO"/>
        </w:rPr>
        <w:t xml:space="preserve">Agrega desviaciones estándar y número de observaciones. </w:t>
      </w:r>
    </w:p>
    <w:p w14:paraId="6D9F83F4" w14:textId="4EE1BCC3" w:rsidR="001F7E40" w:rsidRPr="001F7E40" w:rsidRDefault="001F7E40" w:rsidP="001F7E40">
      <w:pPr>
        <w:pStyle w:val="Listaconvietas"/>
        <w:numPr>
          <w:ilvl w:val="0"/>
          <w:numId w:val="0"/>
        </w:numPr>
        <w:ind w:left="360" w:hanging="360"/>
        <w:rPr>
          <w:rFonts w:asciiTheme="majorHAnsi" w:hAnsiTheme="majorHAnsi" w:cstheme="majorHAnsi"/>
          <w:b/>
          <w:bCs/>
          <w:sz w:val="24"/>
          <w:szCs w:val="24"/>
        </w:rPr>
      </w:pPr>
      <w:r w:rsidRPr="007B273E">
        <w:rPr>
          <w:rFonts w:asciiTheme="majorHAnsi" w:hAnsiTheme="majorHAnsi" w:cstheme="majorHAnsi"/>
          <w:b/>
          <w:bCs/>
          <w:sz w:val="24"/>
          <w:szCs w:val="24"/>
        </w:rPr>
        <w:t>RTA:</w:t>
      </w:r>
    </w:p>
    <w:p w14:paraId="034B691E" w14:textId="28C82831" w:rsidR="00577420" w:rsidRPr="005709EB" w:rsidRDefault="00577420" w:rsidP="00577420">
      <w:pPr>
        <w:pStyle w:val="Listaconvietas"/>
        <w:numPr>
          <w:ilvl w:val="0"/>
          <w:numId w:val="0"/>
        </w:numPr>
        <w:ind w:left="360" w:hanging="360"/>
        <w:rPr>
          <w:rFonts w:asciiTheme="majorHAnsi" w:hAnsiTheme="majorHAnsi" w:cstheme="majorHAnsi"/>
          <w:sz w:val="24"/>
          <w:szCs w:val="24"/>
          <w:lang w:val="es-CO"/>
        </w:rPr>
      </w:pPr>
      <w:r w:rsidRPr="00577420">
        <w:rPr>
          <w:rFonts w:asciiTheme="majorHAnsi" w:hAnsiTheme="majorHAnsi" w:cstheme="majorHAnsi"/>
          <w:noProof/>
          <w:sz w:val="24"/>
          <w:szCs w:val="24"/>
          <w:lang w:val="es-CO"/>
        </w:rPr>
        <w:drawing>
          <wp:inline distT="0" distB="0" distL="0" distR="0" wp14:anchorId="21BAAEB4" wp14:editId="11CCED22">
            <wp:extent cx="4010585" cy="1924319"/>
            <wp:effectExtent l="0" t="0" r="0" b="0"/>
            <wp:docPr id="128349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94480" name=""/>
                    <pic:cNvPicPr/>
                  </pic:nvPicPr>
                  <pic:blipFill>
                    <a:blip r:embed="rId12"/>
                    <a:stretch>
                      <a:fillRect/>
                    </a:stretch>
                  </pic:blipFill>
                  <pic:spPr>
                    <a:xfrm>
                      <a:off x="0" y="0"/>
                      <a:ext cx="4010585" cy="1924319"/>
                    </a:xfrm>
                    <a:prstGeom prst="rect">
                      <a:avLst/>
                    </a:prstGeom>
                  </pic:spPr>
                </pic:pic>
              </a:graphicData>
            </a:graphic>
          </wp:inline>
        </w:drawing>
      </w:r>
    </w:p>
    <w:p w14:paraId="3232C367" w14:textId="4E6F31DE" w:rsidR="00573A27" w:rsidRDefault="00573A27" w:rsidP="00573A27">
      <w:pPr>
        <w:pStyle w:val="Listaconvietas"/>
        <w:numPr>
          <w:ilvl w:val="1"/>
          <w:numId w:val="11"/>
        </w:numPr>
        <w:rPr>
          <w:rFonts w:asciiTheme="majorHAnsi" w:hAnsiTheme="majorHAnsi" w:cstheme="majorHAnsi"/>
          <w:sz w:val="24"/>
          <w:szCs w:val="24"/>
          <w:lang w:val="es-CO"/>
        </w:rPr>
      </w:pPr>
      <w:r w:rsidRPr="005709EB">
        <w:rPr>
          <w:rFonts w:asciiTheme="majorHAnsi" w:hAnsiTheme="majorHAnsi" w:cstheme="majorHAnsi"/>
          <w:sz w:val="24"/>
          <w:szCs w:val="24"/>
          <w:lang w:val="es-CO"/>
        </w:rPr>
        <w:t>Calcula IC 95% con CONFIDENCE.T.</w:t>
      </w:r>
    </w:p>
    <w:p w14:paraId="0CBDC329" w14:textId="20E95351" w:rsidR="001F7E40" w:rsidRDefault="001F7E40" w:rsidP="001F7E40">
      <w:pPr>
        <w:pStyle w:val="Listaconvietas"/>
        <w:numPr>
          <w:ilvl w:val="0"/>
          <w:numId w:val="0"/>
        </w:numPr>
        <w:ind w:left="360" w:hanging="360"/>
        <w:rPr>
          <w:rFonts w:asciiTheme="majorHAnsi" w:hAnsiTheme="majorHAnsi" w:cstheme="majorHAnsi"/>
          <w:b/>
          <w:bCs/>
          <w:sz w:val="24"/>
          <w:szCs w:val="24"/>
          <w:lang w:val="es-CO"/>
        </w:rPr>
      </w:pPr>
      <w:r w:rsidRPr="001F7E40">
        <w:rPr>
          <w:rFonts w:asciiTheme="majorHAnsi" w:hAnsiTheme="majorHAnsi" w:cstheme="majorHAnsi"/>
          <w:b/>
          <w:bCs/>
          <w:sz w:val="24"/>
          <w:szCs w:val="24"/>
          <w:lang w:val="es-CO"/>
        </w:rPr>
        <w:t>RTA:</w:t>
      </w:r>
    </w:p>
    <w:p w14:paraId="29725897" w14:textId="77777777" w:rsidR="001F7E40" w:rsidRDefault="001F7E40" w:rsidP="001F7E40">
      <w:pPr>
        <w:pStyle w:val="Listaconvietas"/>
        <w:numPr>
          <w:ilvl w:val="0"/>
          <w:numId w:val="0"/>
        </w:numPr>
        <w:ind w:left="360" w:hanging="360"/>
        <w:rPr>
          <w:rFonts w:asciiTheme="majorHAnsi" w:hAnsiTheme="majorHAnsi" w:cstheme="majorHAnsi"/>
          <w:b/>
          <w:bCs/>
          <w:sz w:val="24"/>
          <w:szCs w:val="24"/>
          <w:lang w:val="es-CO"/>
        </w:rPr>
      </w:pPr>
    </w:p>
    <w:p w14:paraId="254B4476" w14:textId="727B3958" w:rsidR="0041268B" w:rsidRPr="001F7E40" w:rsidRDefault="0041268B" w:rsidP="0041268B">
      <w:pPr>
        <w:pStyle w:val="Listaconvietas"/>
        <w:numPr>
          <w:ilvl w:val="0"/>
          <w:numId w:val="0"/>
        </w:numPr>
        <w:rPr>
          <w:rFonts w:asciiTheme="majorHAnsi" w:hAnsiTheme="majorHAnsi" w:cstheme="majorHAnsi"/>
          <w:b/>
          <w:bCs/>
          <w:sz w:val="24"/>
          <w:szCs w:val="24"/>
          <w:lang w:val="es-CO"/>
        </w:rPr>
      </w:pPr>
      <w:r w:rsidRPr="0041268B">
        <w:rPr>
          <w:rFonts w:asciiTheme="majorHAnsi" w:hAnsiTheme="majorHAnsi" w:cstheme="majorHAnsi"/>
          <w:b/>
          <w:bCs/>
          <w:noProof/>
          <w:sz w:val="24"/>
          <w:szCs w:val="24"/>
          <w:lang w:val="es-CO"/>
        </w:rPr>
        <w:lastRenderedPageBreak/>
        <w:drawing>
          <wp:inline distT="0" distB="0" distL="0" distR="0" wp14:anchorId="7C53D5A8" wp14:editId="3738956D">
            <wp:extent cx="4286848" cy="1857634"/>
            <wp:effectExtent l="0" t="0" r="0" b="9525"/>
            <wp:docPr id="200102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8100" name=""/>
                    <pic:cNvPicPr/>
                  </pic:nvPicPr>
                  <pic:blipFill>
                    <a:blip r:embed="rId13"/>
                    <a:stretch>
                      <a:fillRect/>
                    </a:stretch>
                  </pic:blipFill>
                  <pic:spPr>
                    <a:xfrm>
                      <a:off x="0" y="0"/>
                      <a:ext cx="4286848" cy="1857634"/>
                    </a:xfrm>
                    <a:prstGeom prst="rect">
                      <a:avLst/>
                    </a:prstGeom>
                  </pic:spPr>
                </pic:pic>
              </a:graphicData>
            </a:graphic>
          </wp:inline>
        </w:drawing>
      </w:r>
    </w:p>
    <w:p w14:paraId="1A18C2F4" w14:textId="32C800EA" w:rsidR="00B7058F" w:rsidRDefault="00B7058F" w:rsidP="00573A27">
      <w:pPr>
        <w:pStyle w:val="Listaconvietas"/>
        <w:numPr>
          <w:ilvl w:val="1"/>
          <w:numId w:val="11"/>
        </w:numPr>
        <w:rPr>
          <w:rFonts w:asciiTheme="majorHAnsi" w:hAnsiTheme="majorHAnsi" w:cstheme="majorHAnsi"/>
          <w:sz w:val="24"/>
          <w:szCs w:val="24"/>
          <w:lang w:val="es-CO"/>
        </w:rPr>
      </w:pPr>
      <w:r>
        <w:rPr>
          <w:rFonts w:asciiTheme="majorHAnsi" w:hAnsiTheme="majorHAnsi" w:cstheme="majorHAnsi"/>
          <w:sz w:val="24"/>
          <w:szCs w:val="24"/>
          <w:lang w:val="es-CO"/>
        </w:rPr>
        <w:t>Con gráficos de barras (una por región), graficar las diferencias incluyendo los intervalos de confianza.</w:t>
      </w:r>
    </w:p>
    <w:p w14:paraId="3B3B2862" w14:textId="72C6E25A" w:rsidR="000E2E0E" w:rsidRDefault="000E2E0E" w:rsidP="000E2E0E">
      <w:pPr>
        <w:pStyle w:val="Listaconvietas"/>
        <w:numPr>
          <w:ilvl w:val="0"/>
          <w:numId w:val="0"/>
        </w:numPr>
        <w:ind w:left="360" w:hanging="360"/>
        <w:rPr>
          <w:rFonts w:asciiTheme="majorHAnsi" w:hAnsiTheme="majorHAnsi" w:cstheme="majorHAnsi"/>
          <w:b/>
          <w:bCs/>
          <w:sz w:val="24"/>
          <w:szCs w:val="24"/>
          <w:lang w:val="es-CO"/>
        </w:rPr>
      </w:pPr>
      <w:r>
        <w:rPr>
          <w:rFonts w:asciiTheme="majorHAnsi" w:hAnsiTheme="majorHAnsi" w:cstheme="majorHAnsi"/>
          <w:b/>
          <w:bCs/>
          <w:sz w:val="24"/>
          <w:szCs w:val="24"/>
          <w:lang w:val="es-CO"/>
        </w:rPr>
        <w:t>RTA:</w:t>
      </w:r>
    </w:p>
    <w:p w14:paraId="708E8606" w14:textId="0942DCBA" w:rsidR="000E2E0E" w:rsidRPr="000E2E0E" w:rsidRDefault="000E2E0E" w:rsidP="000E2E0E">
      <w:pPr>
        <w:pStyle w:val="Listaconvietas"/>
        <w:numPr>
          <w:ilvl w:val="0"/>
          <w:numId w:val="0"/>
        </w:numPr>
        <w:ind w:left="360" w:hanging="360"/>
        <w:rPr>
          <w:rFonts w:asciiTheme="majorHAnsi" w:hAnsiTheme="majorHAnsi" w:cstheme="majorHAnsi"/>
          <w:b/>
          <w:bCs/>
          <w:sz w:val="24"/>
          <w:szCs w:val="24"/>
          <w:lang w:val="es-CO"/>
        </w:rPr>
      </w:pPr>
      <w:r w:rsidRPr="000E2E0E">
        <w:rPr>
          <w:rFonts w:asciiTheme="majorHAnsi" w:hAnsiTheme="majorHAnsi" w:cstheme="majorHAnsi"/>
          <w:b/>
          <w:bCs/>
          <w:noProof/>
          <w:sz w:val="24"/>
          <w:szCs w:val="24"/>
          <w:lang w:val="es-CO"/>
        </w:rPr>
        <w:drawing>
          <wp:inline distT="0" distB="0" distL="0" distR="0" wp14:anchorId="651A7215" wp14:editId="2C561143">
            <wp:extent cx="5151120" cy="3237932"/>
            <wp:effectExtent l="0" t="0" r="0" b="635"/>
            <wp:docPr id="82110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03022" name=""/>
                    <pic:cNvPicPr/>
                  </pic:nvPicPr>
                  <pic:blipFill>
                    <a:blip r:embed="rId14"/>
                    <a:stretch>
                      <a:fillRect/>
                    </a:stretch>
                  </pic:blipFill>
                  <pic:spPr>
                    <a:xfrm>
                      <a:off x="0" y="0"/>
                      <a:ext cx="5160747" cy="3243983"/>
                    </a:xfrm>
                    <a:prstGeom prst="rect">
                      <a:avLst/>
                    </a:prstGeom>
                  </pic:spPr>
                </pic:pic>
              </a:graphicData>
            </a:graphic>
          </wp:inline>
        </w:drawing>
      </w:r>
    </w:p>
    <w:p w14:paraId="28AC7774" w14:textId="5A044B08" w:rsidR="00B7058F" w:rsidRDefault="00B7058F" w:rsidP="00573A27">
      <w:pPr>
        <w:pStyle w:val="Listaconvietas"/>
        <w:numPr>
          <w:ilvl w:val="1"/>
          <w:numId w:val="11"/>
        </w:numPr>
        <w:rPr>
          <w:rFonts w:asciiTheme="majorHAnsi" w:hAnsiTheme="majorHAnsi" w:cstheme="majorHAnsi"/>
          <w:sz w:val="24"/>
          <w:szCs w:val="24"/>
          <w:lang w:val="es-CO"/>
        </w:rPr>
      </w:pPr>
      <w:r>
        <w:rPr>
          <w:rFonts w:asciiTheme="majorHAnsi" w:hAnsiTheme="majorHAnsi" w:cstheme="majorHAnsi"/>
          <w:sz w:val="24"/>
          <w:szCs w:val="24"/>
          <w:lang w:val="es-CO"/>
        </w:rPr>
        <w:t>Interpretar: ¿hay evidencia de un cambio notable antes y después del COVID?, ¿por qué?</w:t>
      </w:r>
    </w:p>
    <w:p w14:paraId="5E29A83D" w14:textId="070E1192" w:rsidR="000E2E0E" w:rsidRPr="000E2E0E" w:rsidRDefault="000E2E0E" w:rsidP="000E2E0E">
      <w:pPr>
        <w:pStyle w:val="Listaconvietas"/>
        <w:numPr>
          <w:ilvl w:val="0"/>
          <w:numId w:val="0"/>
        </w:numPr>
        <w:ind w:left="360" w:hanging="360"/>
        <w:rPr>
          <w:rFonts w:asciiTheme="majorHAnsi" w:hAnsiTheme="majorHAnsi" w:cstheme="majorHAnsi"/>
          <w:b/>
          <w:bCs/>
          <w:sz w:val="24"/>
          <w:szCs w:val="24"/>
          <w:lang w:val="es-CO"/>
        </w:rPr>
      </w:pPr>
      <w:r>
        <w:rPr>
          <w:rFonts w:asciiTheme="majorHAnsi" w:hAnsiTheme="majorHAnsi" w:cstheme="majorHAnsi"/>
          <w:b/>
          <w:bCs/>
          <w:sz w:val="24"/>
          <w:szCs w:val="24"/>
          <w:lang w:val="es-CO"/>
        </w:rPr>
        <w:t>RTA:</w:t>
      </w:r>
    </w:p>
    <w:p w14:paraId="6CEA1C87" w14:textId="77777777" w:rsidR="000E2E0E" w:rsidRPr="000E2E0E" w:rsidRDefault="000E2E0E" w:rsidP="000E2E0E">
      <w:pPr>
        <w:pStyle w:val="NormalWeb"/>
      </w:pPr>
      <w:r w:rsidRPr="000E2E0E">
        <w:t>Sí, los resultados muestran evidencia clara de un cambio significativo en los precios promedio de las regiones entre 2014 y 2024.</w:t>
      </w:r>
      <w:r w:rsidRPr="000E2E0E">
        <w:br/>
        <w:t xml:space="preserve">En los tres casos (USA, Europa y Asia), los promedios de 2024 son </w:t>
      </w:r>
      <w:r w:rsidRPr="000E2E0E">
        <w:rPr>
          <w:rStyle w:val="Textoennegrita"/>
        </w:rPr>
        <w:t>sustancialmente mayores</w:t>
      </w:r>
      <w:r w:rsidRPr="000E2E0E">
        <w:t xml:space="preserve"> que los de 2014, lo que sugiere una fuerte expansión posterior al periodo del COVID-19.</w:t>
      </w:r>
    </w:p>
    <w:p w14:paraId="6C5560E0" w14:textId="77777777" w:rsidR="000E2E0E" w:rsidRPr="000E2E0E" w:rsidRDefault="000E2E0E" w:rsidP="000E2E0E">
      <w:pPr>
        <w:pStyle w:val="NormalWeb"/>
      </w:pPr>
      <w:r w:rsidRPr="000E2E0E">
        <w:t xml:space="preserve">En </w:t>
      </w:r>
      <w:r w:rsidRPr="000E2E0E">
        <w:rPr>
          <w:rStyle w:val="Textoennegrita"/>
        </w:rPr>
        <w:t>Estados Unidos</w:t>
      </w:r>
      <w:r w:rsidRPr="000E2E0E">
        <w:t xml:space="preserve">, el promedio pasó de aproximadamente </w:t>
      </w:r>
      <w:r w:rsidRPr="000E2E0E">
        <w:rPr>
          <w:rStyle w:val="Textoennegrita"/>
        </w:rPr>
        <w:t>89 a 321</w:t>
      </w:r>
      <w:r w:rsidRPr="000E2E0E">
        <w:t xml:space="preserve">, mientras que en </w:t>
      </w:r>
      <w:r w:rsidRPr="000E2E0E">
        <w:rPr>
          <w:rStyle w:val="Textoennegrita"/>
        </w:rPr>
        <w:t>Europa</w:t>
      </w:r>
      <w:r w:rsidRPr="000E2E0E">
        <w:t xml:space="preserve"> aumentó de </w:t>
      </w:r>
      <w:r w:rsidRPr="000E2E0E">
        <w:rPr>
          <w:rStyle w:val="Textoennegrita"/>
        </w:rPr>
        <w:t>117 a 352</w:t>
      </w:r>
      <w:r w:rsidRPr="000E2E0E">
        <w:t>.</w:t>
      </w:r>
      <w:r w:rsidRPr="000E2E0E">
        <w:br/>
      </w:r>
      <w:r w:rsidRPr="000E2E0E">
        <w:lastRenderedPageBreak/>
        <w:t xml:space="preserve">Aunque </w:t>
      </w:r>
      <w:r w:rsidRPr="000E2E0E">
        <w:rPr>
          <w:rStyle w:val="Textoennegrita"/>
        </w:rPr>
        <w:t>Asia</w:t>
      </w:r>
      <w:r w:rsidRPr="000E2E0E">
        <w:t xml:space="preserve"> presenta valores absolutos menores (de </w:t>
      </w:r>
      <w:r w:rsidRPr="000E2E0E">
        <w:rPr>
          <w:rStyle w:val="Textoennegrita"/>
        </w:rPr>
        <w:t>19,5 a 27,6</w:t>
      </w:r>
      <w:r w:rsidRPr="000E2E0E">
        <w:t>), también evidencia una tendencia al alza.</w:t>
      </w:r>
    </w:p>
    <w:p w14:paraId="227258B4" w14:textId="77777777" w:rsidR="000E2E0E" w:rsidRPr="000E2E0E" w:rsidRDefault="000E2E0E" w:rsidP="000E2E0E">
      <w:pPr>
        <w:pStyle w:val="NormalWeb"/>
      </w:pPr>
      <w:r w:rsidRPr="000E2E0E">
        <w:t xml:space="preserve">Los </w:t>
      </w:r>
      <w:r w:rsidRPr="000E2E0E">
        <w:rPr>
          <w:rStyle w:val="Textoennegrita"/>
        </w:rPr>
        <w:t>intervalos de confianza (IC 95%)</w:t>
      </w:r>
      <w:r w:rsidRPr="000E2E0E">
        <w:t xml:space="preserve"> no se superponen entre ambos años en ninguna región, lo que indica que las diferencias observadas son </w:t>
      </w:r>
      <w:r w:rsidRPr="000E2E0E">
        <w:rPr>
          <w:rStyle w:val="Textoennegrita"/>
        </w:rPr>
        <w:t>estadísticamente significativas</w:t>
      </w:r>
      <w:r w:rsidRPr="000E2E0E">
        <w:t>, es decir, no atribuibles al azar.</w:t>
      </w:r>
      <w:r w:rsidRPr="000E2E0E">
        <w:br/>
        <w:t xml:space="preserve">Esto refuerza la idea de que los mercados —reflejados en estos índices bursátiles o precios promedio— </w:t>
      </w:r>
      <w:r w:rsidRPr="000E2E0E">
        <w:rPr>
          <w:rStyle w:val="Textoennegrita"/>
        </w:rPr>
        <w:t>experimentaron un cambio estructural</w:t>
      </w:r>
      <w:r w:rsidRPr="000E2E0E">
        <w:t xml:space="preserve"> tras el COVID, probablemente impulsado por la recuperación económica, la expansión monetaria y la digitalización acelerada.</w:t>
      </w:r>
    </w:p>
    <w:p w14:paraId="673012F0" w14:textId="10C95922" w:rsidR="00573A27" w:rsidRPr="0041268B" w:rsidRDefault="000E2E0E" w:rsidP="0041268B">
      <w:pPr>
        <w:pStyle w:val="NormalWeb"/>
      </w:pPr>
      <w:r w:rsidRPr="000E2E0E">
        <w:t xml:space="preserve">En conclusión, los datos confirman que el mundo posterior al COVID-19 presenta </w:t>
      </w:r>
      <w:r w:rsidRPr="000E2E0E">
        <w:rPr>
          <w:rStyle w:val="Textoennegrita"/>
        </w:rPr>
        <w:t>niveles de valor y rentabilidad mayores</w:t>
      </w:r>
      <w:r w:rsidRPr="000E2E0E">
        <w:t xml:space="preserve">, con una brecha más pronunciada en las economías desarrolladas (EE. UU. y Europa) </w:t>
      </w:r>
      <w:proofErr w:type="gramStart"/>
      <w:r w:rsidRPr="000E2E0E">
        <w:t>que</w:t>
      </w:r>
      <w:proofErr w:type="gramEnd"/>
      <w:r w:rsidRPr="000E2E0E">
        <w:t xml:space="preserve"> en las asiáticas, reflejando una recuperación desigual entre regiones.</w:t>
      </w:r>
    </w:p>
    <w:sectPr w:rsidR="00573A27" w:rsidRPr="004126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76AC2B8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BDA386F"/>
    <w:multiLevelType w:val="hybridMultilevel"/>
    <w:tmpl w:val="26BEB9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0A5684"/>
    <w:multiLevelType w:val="hybridMultilevel"/>
    <w:tmpl w:val="9660697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99F0A06"/>
    <w:multiLevelType w:val="hybridMultilevel"/>
    <w:tmpl w:val="7E388A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3990643">
    <w:abstractNumId w:val="8"/>
  </w:num>
  <w:num w:numId="2" w16cid:durableId="2129932522">
    <w:abstractNumId w:val="6"/>
  </w:num>
  <w:num w:numId="3" w16cid:durableId="535461504">
    <w:abstractNumId w:val="5"/>
  </w:num>
  <w:num w:numId="4" w16cid:durableId="1419712707">
    <w:abstractNumId w:val="4"/>
  </w:num>
  <w:num w:numId="5" w16cid:durableId="1007638029">
    <w:abstractNumId w:val="7"/>
  </w:num>
  <w:num w:numId="6" w16cid:durableId="1937202424">
    <w:abstractNumId w:val="3"/>
  </w:num>
  <w:num w:numId="7" w16cid:durableId="864513968">
    <w:abstractNumId w:val="2"/>
  </w:num>
  <w:num w:numId="8" w16cid:durableId="1895316183">
    <w:abstractNumId w:val="1"/>
  </w:num>
  <w:num w:numId="9" w16cid:durableId="1249387299">
    <w:abstractNumId w:val="0"/>
  </w:num>
  <w:num w:numId="10" w16cid:durableId="1834909065">
    <w:abstractNumId w:val="11"/>
  </w:num>
  <w:num w:numId="11" w16cid:durableId="782312507">
    <w:abstractNumId w:val="10"/>
  </w:num>
  <w:num w:numId="12" w16cid:durableId="7011730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582"/>
    <w:rsid w:val="00027437"/>
    <w:rsid w:val="00034616"/>
    <w:rsid w:val="0006063C"/>
    <w:rsid w:val="000D5E05"/>
    <w:rsid w:val="000E2E0E"/>
    <w:rsid w:val="00122C84"/>
    <w:rsid w:val="0015074B"/>
    <w:rsid w:val="001F7E40"/>
    <w:rsid w:val="0029639D"/>
    <w:rsid w:val="00326F90"/>
    <w:rsid w:val="0041268B"/>
    <w:rsid w:val="00416B3A"/>
    <w:rsid w:val="005709EB"/>
    <w:rsid w:val="00573A27"/>
    <w:rsid w:val="00577420"/>
    <w:rsid w:val="00593BAD"/>
    <w:rsid w:val="007A71B2"/>
    <w:rsid w:val="007B273E"/>
    <w:rsid w:val="008868CF"/>
    <w:rsid w:val="009043E5"/>
    <w:rsid w:val="009118C5"/>
    <w:rsid w:val="00A5620F"/>
    <w:rsid w:val="00AA1D8D"/>
    <w:rsid w:val="00B47730"/>
    <w:rsid w:val="00B7058F"/>
    <w:rsid w:val="00BB398C"/>
    <w:rsid w:val="00C458B9"/>
    <w:rsid w:val="00CA30C7"/>
    <w:rsid w:val="00CB0664"/>
    <w:rsid w:val="00D655AD"/>
    <w:rsid w:val="00E312AC"/>
    <w:rsid w:val="00F5692D"/>
    <w:rsid w:val="00F56F8E"/>
    <w:rsid w:val="00F603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98EB87"/>
  <w14:defaultImageDpi w14:val="300"/>
  <w15:docId w15:val="{5EBC8C13-E632-497D-A5A5-C51199F6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digoHTML">
    <w:name w:val="HTML Code"/>
    <w:basedOn w:val="Fuentedeprrafopredeter"/>
    <w:uiPriority w:val="99"/>
    <w:semiHidden/>
    <w:unhideWhenUsed/>
    <w:rsid w:val="005709EB"/>
    <w:rPr>
      <w:rFonts w:ascii="Courier New" w:eastAsia="Times New Roman" w:hAnsi="Courier New" w:cs="Courier New"/>
      <w:sz w:val="20"/>
      <w:szCs w:val="20"/>
    </w:rPr>
  </w:style>
  <w:style w:type="character" w:styleId="Hipervnculo">
    <w:name w:val="Hyperlink"/>
    <w:basedOn w:val="Fuentedeprrafopredeter"/>
    <w:uiPriority w:val="99"/>
    <w:unhideWhenUsed/>
    <w:rsid w:val="005709EB"/>
    <w:rPr>
      <w:color w:val="0000FF" w:themeColor="hyperlink"/>
      <w:u w:val="single"/>
    </w:rPr>
  </w:style>
  <w:style w:type="character" w:styleId="Mencinsinresolver">
    <w:name w:val="Unresolved Mention"/>
    <w:basedOn w:val="Fuentedeprrafopredeter"/>
    <w:uiPriority w:val="99"/>
    <w:semiHidden/>
    <w:unhideWhenUsed/>
    <w:rsid w:val="005709EB"/>
    <w:rPr>
      <w:color w:val="605E5C"/>
      <w:shd w:val="clear" w:color="auto" w:fill="E1DFDD"/>
    </w:rPr>
  </w:style>
  <w:style w:type="paragraph" w:styleId="NormalWeb">
    <w:name w:val="Normal (Web)"/>
    <w:basedOn w:val="Normal"/>
    <w:uiPriority w:val="99"/>
    <w:unhideWhenUsed/>
    <w:rsid w:val="000E2E0E"/>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830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ooks.core-econ.org/doing-economics/book/text/10-02.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602</Words>
  <Characters>3311</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3906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Jose Rusinque Velasquez</cp:lastModifiedBy>
  <cp:revision>2</cp:revision>
  <dcterms:created xsi:type="dcterms:W3CDTF">2025-10-05T20:45:00Z</dcterms:created>
  <dcterms:modified xsi:type="dcterms:W3CDTF">2025-10-05T20:45:00Z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95212ca4-ebc8-4988-ae4a-714e36c9a570</vt:lpwstr>
  </property>
</Properties>
</file>