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40"/>
          <w:szCs w:val="40"/>
        </w:rPr>
        <w:t xml:space="preserve">BITÁCORA DE USO DE IA</w:t>
      </w:r>
    </w:p>
    <w:p>
      <w:pPr>
        <w:spacing w:after="300"/>
        <w:jc w:val="center"/>
      </w:pPr>
      <w:r>
        <w:rPr>
          <w:rFonts w:ascii="Calibri" w:cs="Calibri" w:eastAsia="Calibri" w:hAnsi="Calibri"/>
          <w:i/>
          <w:iCs/>
          <w:color w:val="666666"/>
          <w:sz w:val="24"/>
          <w:szCs w:val="24"/>
        </w:rPr>
        <w:t xml:space="preserve">Fase 4 — Evidencia | Criterio 6 de la rúbrica</w:t>
      </w:r>
    </w:p>
    <w:p>
      <w:pPr>
        <w:pBdr>
          <w:bottom w:val="single" w:color="1F3864" w:sz="8" w:space="4"/>
        </w:pBdr>
        <w:spacing w:after="240"/>
      </w:pPr>
      <w:r>
        <w:rPr>
          <w:sz w:val="2"/>
          <w:szCs w:val="2"/>
        </w:rPr>
        <w:t xml:space="preserve"/>
      </w:r>
    </w:p>
    <w:p>
      <w:pPr>
        <w:spacing w:after="160" w:line="276"/>
      </w:pPr>
      <w:r>
        <w:rPr>
          <w:rFonts w:ascii="Calibri" w:cs="Calibri" w:eastAsia="Calibri" w:hAnsi="Calibri"/>
          <w:b/>
          <w:bCs/>
          <w:sz w:val="21"/>
          <w:szCs w:val="21"/>
        </w:rPr>
        <w:t xml:space="preserve">Sistema: HaciendaSoft (Bib_Hacienda + p_mvcHacienda)</w:t>
      </w:r>
    </w:p>
    <w:p>
      <w:pPr>
        <w:spacing w:after="160" w:line="276"/>
      </w:pPr>
      <w:r>
        <w:rPr>
          <w:rFonts w:ascii="Calibri" w:cs="Calibri" w:eastAsia="Calibri" w:hAnsi="Calibri"/>
          <w:b/>
          <w:bCs/>
          <w:sz w:val="21"/>
          <w:szCs w:val="21"/>
        </w:rPr>
        <w:t xml:space="preserve">Responsable del frente: Integrador y evidencia</w:t>
      </w:r>
    </w:p>
    <w:p>
      <w:pPr>
        <w:spacing w:after="160" w:line="276"/>
      </w:pPr>
      <w:r>
        <w:rPr>
          <w:rFonts w:ascii="Calibri" w:cs="Calibri" w:eastAsia="Calibri" w:hAnsi="Calibri"/>
          <w:sz w:val="21"/>
          <w:szCs w:val="21"/>
        </w:rPr>
        <w:t xml:space="preserve">Qué mide este documento: no la cantidad de consultas a la IA, sino la calidad del juicio del equipo frente a lo que la herramienta propuso — qué se aceptó, qué se corrigió y qué se rechazó, y con qué argumento técnico.</w:t>
      </w:r>
    </w:p>
    <w:p>
      <w:pPr>
        <w:pStyle w:val="Heading1"/>
        <w:pBdr>
          <w:bottom w:val="single" w:color="1F3864" w:sz="6" w:space="4"/>
        </w:pBdr>
        <w:spacing w:after="160" w:before="360"/>
      </w:pPr>
      <w:r>
        <w:rPr>
          <w:rFonts w:ascii="Calibri" w:cs="Calibri" w:eastAsia="Calibri" w:hAnsi="Calibri"/>
          <w:b/>
          <w:bCs/>
          <w:color w:val="1F3864"/>
          <w:sz w:val="30"/>
          <w:szCs w:val="30"/>
        </w:rPr>
        <w:t xml:space="preserve">1. Cómo leer esta bitácora</w:t>
      </w:r>
    </w:p>
    <w:p>
      <w:pPr>
        <w:spacing w:after="160" w:line="276"/>
      </w:pPr>
      <w:r>
        <w:rPr>
          <w:rFonts w:ascii="Calibri" w:cs="Calibri" w:eastAsia="Calibri" w:hAnsi="Calibri"/>
          <w:sz w:val="21"/>
          <w:szCs w:val="21"/>
        </w:rPr>
        <w:t xml:space="preserve">Cada fila documenta una consulta relevante a una herramienta de IA durante el proyecto. La columna “Decisión” usa tres estados:</w:t>
      </w:r>
    </w:p>
    <w:p>
      <w:pPr>
        <w:pStyle w:val="ListParagraph"/>
        <w:numPr>
          <w:ilvl w:val="0"/>
          <w:numId w:val="1"/>
        </w:numPr>
        <w:spacing w:after="80"/>
      </w:pPr>
      <w:r>
        <w:rPr>
          <w:rFonts w:ascii="Calibri" w:cs="Calibri" w:eastAsia="Calibri" w:hAnsi="Calibri"/>
          <w:b/>
          <w:bCs/>
          <w:color w:val="2E7D32"/>
          <w:sz w:val="21"/>
          <w:szCs w:val="21"/>
        </w:rPr>
        <w:t xml:space="preserve">Aceptado — la propuesta de la IA se usó tal cual, tras verificación.</w:t>
      </w:r>
    </w:p>
    <w:p>
      <w:pPr>
        <w:pStyle w:val="ListParagraph"/>
        <w:numPr>
          <w:ilvl w:val="0"/>
          <w:numId w:val="1"/>
        </w:numPr>
        <w:spacing w:after="80"/>
      </w:pPr>
      <w:r>
        <w:rPr>
          <w:rFonts w:ascii="Calibri" w:cs="Calibri" w:eastAsia="Calibri" w:hAnsi="Calibri"/>
          <w:b/>
          <w:bCs/>
          <w:color w:val="E65100"/>
          <w:sz w:val="21"/>
          <w:szCs w:val="21"/>
        </w:rPr>
        <w:t xml:space="preserve">Corregido — se usó parte de la propuesta, pero se modificó algo que la IA entregó mal o de forma incompleta.</w:t>
      </w:r>
    </w:p>
    <w:p>
      <w:pPr>
        <w:pStyle w:val="ListParagraph"/>
        <w:numPr>
          <w:ilvl w:val="0"/>
          <w:numId w:val="1"/>
        </w:numPr>
        <w:spacing w:after="80"/>
      </w:pPr>
      <w:r>
        <w:rPr>
          <w:rFonts w:ascii="Calibri" w:cs="Calibri" w:eastAsia="Calibri" w:hAnsi="Calibri"/>
          <w:b/>
          <w:bCs/>
          <w:color w:val="C62828"/>
          <w:sz w:val="21"/>
          <w:szCs w:val="21"/>
        </w:rPr>
        <w:t xml:space="preserve">Rechazado — la propuesta de la IA no se usó, porque el equipo encontró un error, una inconsistencia o una alternativa mejor.</w:t>
      </w:r>
    </w:p>
    <w:p>
      <w:pPr>
        <w:spacing w:after="160" w:line="276"/>
      </w:pPr>
      <w:r>
        <w:rPr>
          <w:rFonts w:ascii="Calibri" w:cs="Calibri" w:eastAsia="Calibri" w:hAnsi="Calibri"/>
          <w:sz w:val="21"/>
          <w:szCs w:val="21"/>
        </w:rPr>
        <w:t xml:space="preserve">No se registran consultas triviales (sintaxis, formato). Se registran las que involucraron una decisión de arquitectura, un hallazgo, o una verificación de lo que otra IA produjo.</w:t>
      </w:r>
    </w:p>
    <w:p>
      <w:pPr>
        <w:sectPr>
          <w:pgSz w:w="12240" w:h="15840" w:orient="portrait"/>
          <w:pgMar w:top="1000" w:right="1100" w:bottom="1000" w:left="1100" w:header="708" w:footer="708" w:gutter="0"/>
          <w:pgNumType/>
          <w:docGrid w:linePitch="360"/>
        </w:sectPr>
      </w:pPr>
    </w:p>
    <w:p>
      <w:pPr>
        <w:pStyle w:val="Heading1"/>
        <w:pBdr>
          <w:bottom w:val="single" w:color="1F3864" w:sz="6" w:space="4"/>
        </w:pBdr>
        <w:spacing w:after="160" w:before="360"/>
      </w:pPr>
      <w:r>
        <w:rPr>
          <w:rFonts w:ascii="Calibri" w:cs="Calibri" w:eastAsia="Calibri" w:hAnsi="Calibri"/>
          <w:b/>
          <w:bCs/>
          <w:color w:val="1F3864"/>
          <w:sz w:val="30"/>
          <w:szCs w:val="30"/>
        </w:rPr>
        <w:t xml:space="preserve">2. Registro de consultas</w:t>
      </w:r>
    </w:p>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2900"/>
        <w:gridCol w:w="3400"/>
        <w:gridCol w:w="1300"/>
        <w:gridCol w:w="4100"/>
      </w:tblGrid>
      <w:tr>
        <w:trPr>
          <w:tblHeader/>
        </w:trPr>
        <w:tc>
          <w:tcPr>
            <w:tcW w:type="dxa" w:w="8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w:t>
            </w:r>
          </w:p>
        </w:tc>
        <w:tc>
          <w:tcPr>
            <w:tcW w:type="dxa" w:w="15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Fase / Frente</w:t>
            </w:r>
          </w:p>
        </w:tc>
        <w:tc>
          <w:tcPr>
            <w:tcW w:type="dxa" w:w="29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Herramienta y consulta</w:t>
            </w:r>
          </w:p>
        </w:tc>
        <w:tc>
          <w:tcPr>
            <w:tcW w:type="dxa" w:w="34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Qué propuso la IA</w:t>
            </w:r>
          </w:p>
        </w:tc>
        <w:tc>
          <w:tcPr>
            <w:tcW w:type="dxa" w:w="13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Decisión</w:t>
            </w:r>
          </w:p>
        </w:tc>
        <w:tc>
          <w:tcPr>
            <w:tcW w:type="dxa" w:w="41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Argumento del equipo</w:t>
            </w:r>
          </w:p>
        </w:tc>
      </w:tr>
      <w:tr>
        <w:tc>
          <w:tcPr>
            <w:tcW w:type="dxa" w:w="800"/>
            <w:tcMar>
              <w:top w:type="dxa" w:w="80"/>
              <w:left w:type="dxa" w:w="100"/>
              <w:bottom w:type="dxa" w:w="80"/>
              <w:right w:type="dxa" w:w="100"/>
            </w:tcMar>
            <w:vAlign w:val="center"/>
          </w:tcPr>
          <w:p>
            <w:r>
              <w:rPr>
                <w:rFonts w:ascii="Calibri" w:cs="Calibri" w:eastAsia="Calibri" w:hAnsi="Calibri"/>
                <w:sz w:val="18"/>
                <w:szCs w:val="18"/>
              </w:rPr>
              <w:t xml:space="preserve">01</w:t>
            </w:r>
          </w:p>
        </w:tc>
        <w:tc>
          <w:tcPr>
            <w:tcW w:type="dxa" w:w="1500"/>
            <w:tcMar>
              <w:top w:type="dxa" w:w="80"/>
              <w:left w:type="dxa" w:w="100"/>
              <w:bottom w:type="dxa" w:w="80"/>
              <w:right w:type="dxa" w:w="100"/>
            </w:tcMar>
            <w:vAlign w:val="center"/>
          </w:tcPr>
          <w:p>
            <w:r>
              <w:rPr>
                <w:rFonts w:ascii="Calibri" w:cs="Calibri" w:eastAsia="Calibri" w:hAnsi="Calibri"/>
                <w:sz w:val="18"/>
                <w:szCs w:val="18"/>
              </w:rPr>
              <w:t xml:space="preserve">Fase 2 — Análisis de impacto</w:t>
            </w:r>
          </w:p>
        </w:tc>
        <w:tc>
          <w:tcPr>
            <w:tcW w:type="dxa" w:w="2900"/>
            <w:tcMar>
              <w:top w:type="dxa" w:w="80"/>
              <w:left w:type="dxa" w:w="100"/>
              <w:bottom w:type="dxa" w:w="80"/>
              <w:right w:type="dxa" w:w="100"/>
            </w:tcMar>
            <w:vAlign w:val="center"/>
          </w:tcPr>
          <w:p>
            <w:r>
              <w:rPr>
                <w:rFonts w:ascii="Calibri" w:cs="Calibri" w:eastAsia="Calibri" w:hAnsi="Calibri"/>
                <w:sz w:val="18"/>
                <w:szCs w:val="18"/>
              </w:rPr>
              <w:t xml:space="preserve">Claude (docx skill). Se pidió generar el documento de Análisis de Impacto de las 3 solicitudes de cambio sobre el código AS-IS.</w:t>
            </w:r>
          </w:p>
        </w:tc>
        <w:tc>
          <w:tcPr>
            <w:tcW w:type="dxa" w:w="3400"/>
            <w:tcMar>
              <w:top w:type="dxa" w:w="80"/>
              <w:left w:type="dxa" w:w="100"/>
              <w:bottom w:type="dxa" w:w="80"/>
              <w:right w:type="dxa" w:w="100"/>
            </w:tcMar>
            <w:vAlign w:val="center"/>
          </w:tcPr>
          <w:p>
            <w:r>
              <w:rPr>
                <w:rFonts w:ascii="Calibri" w:cs="Calibri" w:eastAsia="Calibri" w:hAnsi="Calibri"/>
                <w:sz w:val="18"/>
                <w:szCs w:val="18"/>
              </w:rPr>
              <w:t xml:space="preserve">Documento con tabla de clases afectadas por SC-1/SC-2/SC-3, mapa de convergencia (Hacienda.cs y PersistenciaService) y tabla de riesgos de ruptura.</w:t>
            </w:r>
          </w:p>
        </w:tc>
        <w:tc>
          <w:tcPr>
            <w:tcW w:type="dxa" w:w="1300"/>
            <w:tcMar>
              <w:top w:type="dxa" w:w="80"/>
              <w:left w:type="dxa" w:w="100"/>
              <w:bottom w:type="dxa" w:w="80"/>
              <w:right w:type="dxa" w:w="100"/>
            </w:tcMar>
            <w:vAlign w:val="center"/>
          </w:tcPr>
          <w:p>
            <w:r>
              <w:rPr>
                <w:rFonts w:ascii="Calibri" w:cs="Calibri" w:eastAsia="Calibri" w:hAnsi="Calibri"/>
                <w:sz w:val="18"/>
                <w:szCs w:val="18"/>
              </w:rPr>
              <w:t xml:space="preserve">Aceptado</w:t>
            </w:r>
          </w:p>
        </w:tc>
        <w:tc>
          <w:tcPr>
            <w:tcW w:type="dxa" w:w="4100"/>
            <w:tcMar>
              <w:top w:type="dxa" w:w="80"/>
              <w:left w:type="dxa" w:w="100"/>
              <w:bottom w:type="dxa" w:w="80"/>
              <w:right w:type="dxa" w:w="100"/>
            </w:tcMar>
            <w:vAlign w:val="center"/>
          </w:tcPr>
          <w:p>
            <w:r>
              <w:rPr>
                <w:rFonts w:ascii="Calibri" w:cs="Calibri" w:eastAsia="Calibri" w:hAnsi="Calibri"/>
                <w:sz w:val="18"/>
                <w:szCs w:val="18"/>
              </w:rPr>
              <w:t xml:space="preserve">El conteo de clases y las rutas de archivo se contrastaron manualmente contra el repositorio antes de darlo por bueno; el hallazgo de convergencia en Hacienda y PersistenciaService coincidía con lo observado en la lectura en frío.</w:t>
            </w:r>
          </w:p>
        </w:tc>
      </w:tr>
      <w:tr>
        <w:tc>
          <w:tcPr>
            <w:tcW w:type="dxa" w:w="8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02</w:t>
            </w:r>
          </w:p>
        </w:tc>
        <w:tc>
          <w:tcPr>
            <w:tcW w:type="dxa" w:w="15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Fase 3 — Diseño TO-BE</w:t>
            </w:r>
          </w:p>
        </w:tc>
        <w:tc>
          <w:tcPr>
            <w:tcW w:type="dxa" w:w="29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Claude. Se pidió transformar 8 decisiones de rediseño (ya tomadas por el equipo) en un documento con ADR, diagrama UML coloreado por principio SOLID y tabla comparativa AS-IS/TO-BE.</w:t>
            </w:r>
          </w:p>
        </w:tc>
        <w:tc>
          <w:tcPr>
            <w:tcW w:type="dxa" w:w="34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Primera versión del diagrama UML en una sola imagen apaisada, con las 5 capas (dominio, orquestación, validación, persistencia, composition root) comprimidas en un solo lienzo.</w:t>
            </w:r>
          </w:p>
        </w:tc>
        <w:tc>
          <w:tcPr>
            <w:tcW w:type="dxa" w:w="13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Corregido</w:t>
            </w:r>
          </w:p>
        </w:tc>
        <w:tc>
          <w:tcPr>
            <w:tcW w:type="dxa" w:w="41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Al revisar la exportación a PDF, el texto de las clases era ilegible a tamaño de impresión. Se rechazó esa versión y se pidió partir el diagrama en dos hojas (Dominio / Aplicación-Validación-Persistencia); el contenido técnico se mantuvo, el problema era solo de legibilidad.</w:t>
            </w:r>
          </w:p>
        </w:tc>
      </w:tr>
      <w:tr>
        <w:tc>
          <w:tcPr>
            <w:tcW w:type="dxa" w:w="800"/>
            <w:tcMar>
              <w:top w:type="dxa" w:w="80"/>
              <w:left w:type="dxa" w:w="100"/>
              <w:bottom w:type="dxa" w:w="80"/>
              <w:right w:type="dxa" w:w="100"/>
            </w:tcMar>
            <w:vAlign w:val="center"/>
          </w:tcPr>
          <w:p>
            <w:r>
              <w:rPr>
                <w:rFonts w:ascii="Calibri" w:cs="Calibri" w:eastAsia="Calibri" w:hAnsi="Calibri"/>
                <w:sz w:val="18"/>
                <w:szCs w:val="18"/>
              </w:rPr>
              <w:t xml:space="preserve">03</w:t>
            </w:r>
          </w:p>
        </w:tc>
        <w:tc>
          <w:tcPr>
            <w:tcW w:type="dxa" w:w="1500"/>
            <w:tcMar>
              <w:top w:type="dxa" w:w="80"/>
              <w:left w:type="dxa" w:w="100"/>
              <w:bottom w:type="dxa" w:w="80"/>
              <w:right w:type="dxa" w:w="100"/>
            </w:tcMar>
            <w:vAlign w:val="center"/>
          </w:tcPr>
          <w:p>
            <w:r>
              <w:rPr>
                <w:rFonts w:ascii="Calibri" w:cs="Calibri" w:eastAsia="Calibri" w:hAnsi="Calibri"/>
                <w:sz w:val="18"/>
                <w:szCs w:val="18"/>
              </w:rPr>
              <w:t xml:space="preserve">Fase 3 — Diseño TO-BE</w:t>
            </w:r>
          </w:p>
        </w:tc>
        <w:tc>
          <w:tcPr>
            <w:tcW w:type="dxa" w:w="2900"/>
            <w:tcMar>
              <w:top w:type="dxa" w:w="80"/>
              <w:left w:type="dxa" w:w="100"/>
              <w:bottom w:type="dxa" w:w="80"/>
              <w:right w:type="dxa" w:w="100"/>
            </w:tcMar>
            <w:vAlign w:val="center"/>
          </w:tcPr>
          <w:p>
            <w:r>
              <w:rPr>
                <w:rFonts w:ascii="Calibri" w:cs="Calibri" w:eastAsia="Calibri" w:hAnsi="Calibri"/>
                <w:sz w:val="18"/>
                <w:szCs w:val="18"/>
              </w:rPr>
              <w:t xml:space="preserve">Claude. Se pidió redactar los ADR de cada intervención con al menos 2 alternativas evaluadas.</w:t>
            </w:r>
          </w:p>
        </w:tc>
        <w:tc>
          <w:tcPr>
            <w:tcW w:type="dxa" w:w="3400"/>
            <w:tcMar>
              <w:top w:type="dxa" w:w="80"/>
              <w:left w:type="dxa" w:w="100"/>
              <w:bottom w:type="dxa" w:w="80"/>
              <w:right w:type="dxa" w:w="100"/>
            </w:tcMar>
            <w:vAlign w:val="center"/>
          </w:tcPr>
          <w:p>
            <w:r>
              <w:rPr>
                <w:rFonts w:ascii="Calibri" w:cs="Calibri" w:eastAsia="Calibri" w:hAnsi="Calibri"/>
                <w:sz w:val="18"/>
                <w:szCs w:val="18"/>
              </w:rPr>
              <w:t xml:space="preserve">8 ADR, cada uno con 2–3 alternativas, decisión, costo aceptado y principio(s) SOLID.</w:t>
            </w:r>
          </w:p>
        </w:tc>
        <w:tc>
          <w:tcPr>
            <w:tcW w:type="dxa" w:w="1300"/>
            <w:tcMar>
              <w:top w:type="dxa" w:w="80"/>
              <w:left w:type="dxa" w:w="100"/>
              <w:bottom w:type="dxa" w:w="80"/>
              <w:right w:type="dxa" w:w="100"/>
            </w:tcMar>
            <w:vAlign w:val="center"/>
          </w:tcPr>
          <w:p>
            <w:r>
              <w:rPr>
                <w:rFonts w:ascii="Calibri" w:cs="Calibri" w:eastAsia="Calibri" w:hAnsi="Calibri"/>
                <w:sz w:val="18"/>
                <w:szCs w:val="18"/>
              </w:rPr>
              <w:t xml:space="preserve">Aceptado</w:t>
            </w:r>
          </w:p>
        </w:tc>
        <w:tc>
          <w:tcPr>
            <w:tcW w:type="dxa" w:w="4100"/>
            <w:tcMar>
              <w:top w:type="dxa" w:w="80"/>
              <w:left w:type="dxa" w:w="100"/>
              <w:bottom w:type="dxa" w:w="80"/>
              <w:right w:type="dxa" w:w="100"/>
            </w:tcMar>
            <w:vAlign w:val="center"/>
          </w:tcPr>
          <w:p>
            <w:r>
              <w:rPr>
                <w:rFonts w:ascii="Calibri" w:cs="Calibri" w:eastAsia="Calibri" w:hAnsi="Calibri"/>
                <w:sz w:val="18"/>
                <w:szCs w:val="18"/>
              </w:rPr>
              <w:t xml:space="preserve">Las alternativas descartadas (por ejemplo, seguir agregando atributos a Res en vez de componer Chip/HistoriaClinica) reflejaban de forma correcta lo que el equipo ya había descartado antes de pedir el documento; no se inventaron alternativas de relleno.</w:t>
            </w:r>
          </w:p>
        </w:tc>
      </w:tr>
      <w:tr>
        <w:tc>
          <w:tcPr>
            <w:tcW w:type="dxa" w:w="8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04</w:t>
            </w:r>
          </w:p>
        </w:tc>
        <w:tc>
          <w:tcPr>
            <w:tcW w:type="dxa" w:w="15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Fase 4 — Auditoría de conformidad código-UML</w:t>
            </w:r>
          </w:p>
        </w:tc>
        <w:tc>
          <w:tcPr>
            <w:tcW w:type="dxa" w:w="29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Herramienta de IA (ver Reporte_de_Verificación_Rigurosa_contra_Diagramas_UML.pdf). Se pidió verificar que el código implementado corresponde al diagrama TO-BE.</w:t>
            </w:r>
          </w:p>
        </w:tc>
        <w:tc>
          <w:tcPr>
            <w:tcW w:type="dxa" w:w="34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Matriz de cumplimiento elemento por elemento (Hacienda, IValidador&lt;T&gt;, repositorios, IAlmacenamiento, Res/Chip/HistoriaClinica, ItemVenta) marcada 100% “Implementado”, con la conclusión: “El código cumple rigurosamente y al 100% con todas las especificaciones…”</w:t>
            </w:r>
          </w:p>
        </w:tc>
        <w:tc>
          <w:tcPr>
            <w:tcW w:type="dxa" w:w="13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Rechazado</w:t>
            </w:r>
          </w:p>
        </w:tc>
        <w:tc>
          <w:tcPr>
            <w:tcW w:type="dxa" w:w="41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El propio reporte, justo después de la conclusión de 100%, pega la tabla “Comportamiento existente en riesgo de romperse” (ISP en cascada, God Object, serialización inestable, interceptor no escala) — que es la matriz de riesgos del AS-IS (Fase 2), no una observación sobre el TO-BE auditado. Es evidencia de que la herramienta mezcló contenido de dos documentos distintos. El equipo no acepta el veredicto “100%” sin verificación manual clase por clase y descarta esa sección final por ser un error de la herramienta.</w:t>
            </w:r>
          </w:p>
        </w:tc>
      </w:tr>
      <w:tr>
        <w:tc>
          <w:tcPr>
            <w:tcW w:type="dxa" w:w="800"/>
            <w:tcMar>
              <w:top w:type="dxa" w:w="80"/>
              <w:left w:type="dxa" w:w="100"/>
              <w:bottom w:type="dxa" w:w="80"/>
              <w:right w:type="dxa" w:w="100"/>
            </w:tcMar>
            <w:vAlign w:val="center"/>
          </w:tcPr>
          <w:p>
            <w:r>
              <w:rPr>
                <w:rFonts w:ascii="Calibri" w:cs="Calibri" w:eastAsia="Calibri" w:hAnsi="Calibri"/>
                <w:sz w:val="18"/>
                <w:szCs w:val="18"/>
              </w:rPr>
              <w:t xml:space="preserve">05</w:t>
            </w:r>
          </w:p>
        </w:tc>
        <w:tc>
          <w:tcPr>
            <w:tcW w:type="dxa" w:w="1500"/>
            <w:tcMar>
              <w:top w:type="dxa" w:w="80"/>
              <w:left w:type="dxa" w:w="100"/>
              <w:bottom w:type="dxa" w:w="80"/>
              <w:right w:type="dxa" w:w="100"/>
            </w:tcMar>
            <w:vAlign w:val="center"/>
          </w:tcPr>
          <w:p>
            <w:r>
              <w:rPr>
                <w:rFonts w:ascii="Calibri" w:cs="Calibri" w:eastAsia="Calibri" w:hAnsi="Calibri"/>
                <w:sz w:val="18"/>
                <w:szCs w:val="18"/>
              </w:rPr>
              <w:t xml:space="preserve">Fase 4 — Auditoría de conformidad código-UML</w:t>
            </w:r>
          </w:p>
        </w:tc>
        <w:tc>
          <w:tcPr>
            <w:tcW w:type="dxa" w:w="2900"/>
            <w:tcMar>
              <w:top w:type="dxa" w:w="80"/>
              <w:left w:type="dxa" w:w="100"/>
              <w:bottom w:type="dxa" w:w="80"/>
              <w:right w:type="dxa" w:w="100"/>
            </w:tcMar>
            <w:vAlign w:val="center"/>
          </w:tcPr>
          <w:p>
            <w:r>
              <w:rPr>
                <w:rFonts w:ascii="Calibri" w:cs="Calibri" w:eastAsia="Calibri" w:hAnsi="Calibri"/>
                <w:sz w:val="18"/>
                <w:szCs w:val="18"/>
              </w:rPr>
              <w:t xml:space="preserve">Mismo reporte. Verificación manual de una muestra de la matriz (columna “Ubicación”) contra el repositorio real.</w:t>
            </w:r>
          </w:p>
        </w:tc>
        <w:tc>
          <w:tcPr>
            <w:tcW w:type="dxa" w:w="3400"/>
            <w:tcMar>
              <w:top w:type="dxa" w:w="80"/>
              <w:left w:type="dxa" w:w="100"/>
              <w:bottom w:type="dxa" w:w="80"/>
              <w:right w:type="dxa" w:w="100"/>
            </w:tcMar>
            <w:vAlign w:val="center"/>
          </w:tcPr>
          <w:p>
            <w:r>
              <w:rPr>
                <w:rFonts w:ascii="Calibri" w:cs="Calibri" w:eastAsia="Calibri" w:hAnsi="Calibri"/>
                <w:sz w:val="18"/>
                <w:szCs w:val="18"/>
              </w:rPr>
              <w:t xml:space="preserve">Rutas de archivo como Hacienda.cs, IValidador.cs, ResRepositoryTxt.cs, Chip.cs, ItemVenta.cs.</w:t>
            </w:r>
          </w:p>
        </w:tc>
        <w:tc>
          <w:tcPr>
            <w:tcW w:type="dxa" w:w="1300"/>
            <w:tcMar>
              <w:top w:type="dxa" w:w="80"/>
              <w:left w:type="dxa" w:w="100"/>
              <w:bottom w:type="dxa" w:w="80"/>
              <w:right w:type="dxa" w:w="100"/>
            </w:tcMar>
            <w:vAlign w:val="center"/>
          </w:tcPr>
          <w:p>
            <w:r>
              <w:rPr>
                <w:rFonts w:ascii="Calibri" w:cs="Calibri" w:eastAsia="Calibri" w:hAnsi="Calibri"/>
                <w:sz w:val="18"/>
                <w:szCs w:val="18"/>
              </w:rPr>
              <w:t xml:space="preserve">Corregido</w:t>
            </w:r>
          </w:p>
        </w:tc>
        <w:tc>
          <w:tcPr>
            <w:tcW w:type="dxa" w:w="4100"/>
            <w:tcMar>
              <w:top w:type="dxa" w:w="80"/>
              <w:left w:type="dxa" w:w="100"/>
              <w:bottom w:type="dxa" w:w="80"/>
              <w:right w:type="dxa" w:w="100"/>
            </w:tcMar>
            <w:vAlign w:val="center"/>
          </w:tcPr>
          <w:p>
            <w:r>
              <w:rPr>
                <w:rFonts w:ascii="Calibri" w:cs="Calibri" w:eastAsia="Calibri" w:hAnsi="Calibri"/>
                <w:sz w:val="18"/>
                <w:szCs w:val="18"/>
              </w:rPr>
              <w:t xml:space="preserve">Se verificaron in situ [equipo: completar cuántos y cuáles archivos se revisaron a mano y si alguna ruta reportada no existía o no coincidía con la firma real del método]. Solo se dejan como evidencia válida los elementos confirmados manualmente.</w:t>
            </w:r>
          </w:p>
        </w:tc>
      </w:tr>
    </w:tbl>
    <w:p>
      <w:pPr>
        <w:sectPr>
          <w:pgSz w:w="15840" w:h="12240" w:orient="portrait"/>
          <w:pgMar w:top="900" w:right="900" w:bottom="900" w:left="900" w:header="708" w:footer="708" w:gutter="0"/>
          <w:pgNumType/>
          <w:docGrid w:linePitch="360"/>
        </w:sectPr>
      </w:pPr>
    </w:p>
    <w:p>
      <w:pPr>
        <w:pStyle w:val="Heading1"/>
        <w:pBdr>
          <w:bottom w:val="single" w:color="1F3864" w:sz="6" w:space="4"/>
        </w:pBdr>
        <w:spacing w:after="160" w:before="360"/>
      </w:pPr>
      <w:r>
        <w:rPr>
          <w:rFonts w:ascii="Calibri" w:cs="Calibri" w:eastAsia="Calibri" w:hAnsi="Calibri"/>
          <w:b/>
          <w:bCs/>
          <w:color w:val="1F3864"/>
          <w:sz w:val="30"/>
          <w:szCs w:val="30"/>
        </w:rPr>
        <w:t xml:space="preserve">3. Caso destacado: auditoría con veredicto contaminado</w:t>
      </w:r>
    </w:p>
    <w:p>
      <w:pPr>
        <w:spacing w:after="160" w:line="276"/>
      </w:pPr>
      <w:r>
        <w:rPr>
          <w:rFonts w:ascii="Calibri" w:cs="Calibri" w:eastAsia="Calibri" w:hAnsi="Calibri"/>
          <w:sz w:val="21"/>
          <w:szCs w:val="21"/>
        </w:rPr>
        <w:t xml:space="preserve">Este caso se documenta aparte porque es el ejemplo más claro de juicio técnico del equipo frente a una salida de IA (fila 4):</w:t>
      </w:r>
    </w:p>
    <w:p>
      <w:pPr>
        <w:pStyle w:val="Heading2"/>
        <w:spacing w:after="120" w:before="280"/>
      </w:pPr>
      <w:r>
        <w:rPr>
          <w:rFonts w:ascii="Calibri" w:cs="Calibri" w:eastAsia="Calibri" w:hAnsi="Calibri"/>
          <w:b/>
          <w:bCs/>
          <w:color w:val="1F3864"/>
          <w:sz w:val="24"/>
          <w:szCs w:val="24"/>
        </w:rPr>
        <w:t xml:space="preserve">Lo que entregó la herramienta</w:t>
      </w:r>
    </w:p>
    <w:p>
      <w:pPr>
        <w:spacing w:after="160" w:line="276"/>
      </w:pPr>
      <w:r>
        <w:rPr>
          <w:rFonts w:ascii="Calibri" w:cs="Calibri" w:eastAsia="Calibri" w:hAnsi="Calibri"/>
          <w:sz w:val="21"/>
          <w:szCs w:val="21"/>
        </w:rPr>
        <w:t xml:space="preserve">Un reporte de verificación (Reporte_de_Verificación_Rigurosa_contra_Diagramas_UML.pdf) que recorre elemento por elemento los dos diagramas TO-BE (orquestación/persistencia y dominio/OCP/LSP) y marca cada uno como “Implementado”, cerrando con: “El código cumple rigurosamente y al 100% con todas las especificaciones, relaciones, entidades, interfaces y métodos mostrados en ambos diagramas UML.”</w:t>
      </w:r>
    </w:p>
    <w:p>
      <w:pPr>
        <w:pStyle w:val="Heading2"/>
        <w:spacing w:after="120" w:before="280"/>
      </w:pPr>
      <w:r>
        <w:rPr>
          <w:rFonts w:ascii="Calibri" w:cs="Calibri" w:eastAsia="Calibri" w:hAnsi="Calibri"/>
          <w:b/>
          <w:bCs/>
          <w:color w:val="C62828"/>
          <w:sz w:val="24"/>
          <w:szCs w:val="24"/>
        </w:rPr>
        <w:t xml:space="preserve">Lo que el equipo detectó</w:t>
      </w:r>
    </w:p>
    <w:p>
      <w:pPr>
        <w:spacing w:after="160" w:line="276"/>
      </w:pPr>
      <w:r>
        <w:rPr>
          <w:rFonts w:ascii="Calibri" w:cs="Calibri" w:eastAsia="Calibri" w:hAnsi="Calibri"/>
          <w:sz w:val="21"/>
          <w:szCs w:val="21"/>
        </w:rPr>
        <w:t xml:space="preserve">Inmediatamente debajo de esa conclusión, el mismo reporte incluye una tabla titulada “Comportamiento existente en riesgo de romperse”, con cuatro filas (ISP se agrava en cascada, God Object sigue creciendo, serialización de reses inestable, interceptor de validación no escala). Esa tabla —y su contenido textual— es la misma matriz de riesgos del Análisis de Impacto sobre el sistema AS-IS (Fase 2), no una observación sobre la arquitectura TO-BE que se estaba auditando. Describe problemas (God Object en Hacienda, IValidarInformacion violando ISP) que la Fase 3 ya resolvió y que el propio reporte, dos párrafos antes, dio por superados.</w:t>
      </w:r>
    </w:p>
    <w:p>
      <w:pPr>
        <w:pStyle w:val="Heading2"/>
        <w:spacing w:after="120" w:before="280"/>
      </w:pPr>
      <w:r>
        <w:rPr>
          <w:rFonts w:ascii="Calibri" w:cs="Calibri" w:eastAsia="Calibri" w:hAnsi="Calibri"/>
          <w:b/>
          <w:bCs/>
          <w:color w:val="1F3864"/>
          <w:sz w:val="24"/>
          <w:szCs w:val="24"/>
        </w:rPr>
        <w:t xml:space="preserve">Por qué importa</w:t>
      </w:r>
    </w:p>
    <w:p>
      <w:pPr>
        <w:spacing w:after="160" w:line="276"/>
      </w:pPr>
      <w:r>
        <w:rPr>
          <w:rFonts w:ascii="Calibri" w:cs="Calibri" w:eastAsia="Calibri" w:hAnsi="Calibri"/>
          <w:sz w:val="21"/>
          <w:szCs w:val="21"/>
        </w:rPr>
        <w:t xml:space="preserve">Es evidencia de que la herramienta de auditoría mezcló contenido de dos documentos de fases distintas y lo presentó como parte del veredicto final, sin que eso fuera señalado como una inconsistencia. Un equipo que copia y pega la conclusión “100%” sin leer el resto del reporte estaría entregando una auditoría contaminada por un error de la propia IA.</w:t>
      </w:r>
    </w:p>
    <w:p>
      <w:pPr>
        <w:pStyle w:val="Heading2"/>
        <w:spacing w:after="120" w:before="280"/>
      </w:pPr>
      <w:r>
        <w:rPr>
          <w:rFonts w:ascii="Calibri" w:cs="Calibri" w:eastAsia="Calibri" w:hAnsi="Calibri"/>
          <w:b/>
          <w:bCs/>
          <w:color w:val="2E7D32"/>
          <w:sz w:val="24"/>
          <w:szCs w:val="24"/>
        </w:rPr>
        <w:t xml:space="preserve">Qué decidió el equipo</w:t>
      </w:r>
    </w:p>
    <w:p>
      <w:pPr>
        <w:spacing w:after="160" w:line="276"/>
      </w:pPr>
      <w:r>
        <w:rPr>
          <w:rFonts w:ascii="Calibri" w:cs="Calibri" w:eastAsia="Calibri" w:hAnsi="Calibri"/>
          <w:sz w:val="21"/>
          <w:szCs w:val="21"/>
        </w:rPr>
        <w:t xml:space="preserve">Se conserva la matriz de cumplimiento elemento por elemento (secciones 1 a 5 del reporte) como evidencia válida, porque es verificable línea por línea contra el código. Se descarta la sección final “Conclusión de Auditoría” tal como está redactada, y se reemplaza por una verificación manual dirigida sobre una muestra de archivos antes de afirmar cualquier porcentaje de cumplimiento.</w:t>
      </w:r>
    </w:p>
    <w:p>
      <w:pPr>
        <w:pStyle w:val="Heading1"/>
        <w:pBdr>
          <w:bottom w:val="single" w:color="1F3864" w:sz="6" w:space="4"/>
        </w:pBdr>
        <w:spacing w:after="160" w:before="360"/>
      </w:pPr>
      <w:r>
        <w:rPr>
          <w:rFonts w:ascii="Calibri" w:cs="Calibri" w:eastAsia="Calibri" w:hAnsi="Calibri"/>
          <w:b/>
          <w:bCs/>
          <w:color w:val="1F3864"/>
          <w:sz w:val="30"/>
          <w:szCs w:val="30"/>
        </w:rPr>
        <w:t xml:space="preserve">4. Resumen cuantitativo</w:t>
      </w:r>
    </w:p>
    <w:tbl>
      <w:tblPr>
        <w:tblW w:type="dxa" w:w="1004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1800"/>
        <w:gridCol w:w="1840"/>
      </w:tblGrid>
      <w:tr>
        <w:trPr>
          <w:tblHeader/>
        </w:trPr>
        <w:tc>
          <w:tcPr>
            <w:tcW w:type="dxa" w:w="28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Frente / fase</w:t>
            </w:r>
          </w:p>
        </w:tc>
        <w:tc>
          <w:tcPr>
            <w:tcW w:type="dxa" w:w="18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Aceptado</w:t>
            </w:r>
          </w:p>
        </w:tc>
        <w:tc>
          <w:tcPr>
            <w:tcW w:type="dxa" w:w="18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Corregido</w:t>
            </w:r>
          </w:p>
        </w:tc>
        <w:tc>
          <w:tcPr>
            <w:tcW w:type="dxa" w:w="18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Rechazado</w:t>
            </w:r>
          </w:p>
        </w:tc>
        <w:tc>
          <w:tcPr>
            <w:tcW w:type="dxa" w:w="184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Total</w:t>
            </w:r>
          </w:p>
        </w:tc>
      </w:tr>
      <w:tr>
        <w:tc>
          <w:tcPr>
            <w:tcW w:type="dxa" w:w="2800"/>
            <w:tcMar>
              <w:top w:type="dxa" w:w="80"/>
              <w:left w:type="dxa" w:w="100"/>
              <w:bottom w:type="dxa" w:w="80"/>
              <w:right w:type="dxa" w:w="100"/>
            </w:tcMar>
            <w:vAlign w:val="center"/>
          </w:tcPr>
          <w:p>
            <w:r>
              <w:rPr>
                <w:rFonts w:ascii="Calibri" w:cs="Calibri" w:eastAsia="Calibri" w:hAnsi="Calibri"/>
                <w:sz w:val="18"/>
                <w:szCs w:val="18"/>
              </w:rPr>
              <w:t xml:space="preserve">Fase 2 — Análisis de impacto</w:t>
            </w:r>
          </w:p>
        </w:tc>
        <w:tc>
          <w:tcPr>
            <w:tcW w:type="dxa" w:w="1800"/>
            <w:tcMar>
              <w:top w:type="dxa" w:w="80"/>
              <w:left w:type="dxa" w:w="100"/>
              <w:bottom w:type="dxa" w:w="80"/>
              <w:right w:type="dxa" w:w="100"/>
            </w:tcMar>
            <w:vAlign w:val="center"/>
          </w:tcPr>
          <w:p>
            <w:r>
              <w:rPr>
                <w:rFonts w:ascii="Calibri" w:cs="Calibri" w:eastAsia="Calibri" w:hAnsi="Calibri"/>
                <w:sz w:val="18"/>
                <w:szCs w:val="18"/>
              </w:rPr>
              <w:t xml:space="preserve">1</w:t>
            </w:r>
          </w:p>
        </w:tc>
        <w:tc>
          <w:tcPr>
            <w:tcW w:type="dxa" w:w="1800"/>
            <w:tcMar>
              <w:top w:type="dxa" w:w="80"/>
              <w:left w:type="dxa" w:w="100"/>
              <w:bottom w:type="dxa" w:w="80"/>
              <w:right w:type="dxa" w:w="100"/>
            </w:tcMar>
            <w:vAlign w:val="center"/>
          </w:tcPr>
          <w:p>
            <w:r>
              <w:rPr>
                <w:rFonts w:ascii="Calibri" w:cs="Calibri" w:eastAsia="Calibri" w:hAnsi="Calibri"/>
                <w:sz w:val="18"/>
                <w:szCs w:val="18"/>
              </w:rPr>
              <w:t xml:space="preserve">0</w:t>
            </w:r>
          </w:p>
        </w:tc>
        <w:tc>
          <w:tcPr>
            <w:tcW w:type="dxa" w:w="1800"/>
            <w:tcMar>
              <w:top w:type="dxa" w:w="80"/>
              <w:left w:type="dxa" w:w="100"/>
              <w:bottom w:type="dxa" w:w="80"/>
              <w:right w:type="dxa" w:w="100"/>
            </w:tcMar>
            <w:vAlign w:val="center"/>
          </w:tcPr>
          <w:p>
            <w:r>
              <w:rPr>
                <w:rFonts w:ascii="Calibri" w:cs="Calibri" w:eastAsia="Calibri" w:hAnsi="Calibri"/>
                <w:sz w:val="18"/>
                <w:szCs w:val="18"/>
              </w:rPr>
              <w:t xml:space="preserve">0</w:t>
            </w:r>
          </w:p>
        </w:tc>
        <w:tc>
          <w:tcPr>
            <w:tcW w:type="dxa" w:w="1840"/>
            <w:tcMar>
              <w:top w:type="dxa" w:w="80"/>
              <w:left w:type="dxa" w:w="100"/>
              <w:bottom w:type="dxa" w:w="80"/>
              <w:right w:type="dxa" w:w="100"/>
            </w:tcMar>
            <w:vAlign w:val="center"/>
          </w:tcPr>
          <w:p>
            <w:r>
              <w:rPr>
                <w:rFonts w:ascii="Calibri" w:cs="Calibri" w:eastAsia="Calibri" w:hAnsi="Calibri"/>
                <w:sz w:val="18"/>
                <w:szCs w:val="18"/>
              </w:rPr>
              <w:t xml:space="preserve">1</w:t>
            </w:r>
          </w:p>
        </w:tc>
      </w:tr>
      <w:tr>
        <w:tc>
          <w:tcPr>
            <w:tcW w:type="dxa" w:w="28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Fase 3 — Diseño TO-BE</w:t>
            </w:r>
          </w:p>
        </w:tc>
        <w:tc>
          <w:tcPr>
            <w:tcW w:type="dxa" w:w="18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1</w:t>
            </w:r>
          </w:p>
        </w:tc>
        <w:tc>
          <w:tcPr>
            <w:tcW w:type="dxa" w:w="18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1</w:t>
            </w:r>
          </w:p>
        </w:tc>
        <w:tc>
          <w:tcPr>
            <w:tcW w:type="dxa" w:w="18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0</w:t>
            </w:r>
          </w:p>
        </w:tc>
        <w:tc>
          <w:tcPr>
            <w:tcW w:type="dxa" w:w="184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2</w:t>
            </w:r>
          </w:p>
        </w:tc>
      </w:tr>
      <w:tr>
        <w:tc>
          <w:tcPr>
            <w:tcW w:type="dxa" w:w="2800"/>
            <w:tcMar>
              <w:top w:type="dxa" w:w="80"/>
              <w:left w:type="dxa" w:w="100"/>
              <w:bottom w:type="dxa" w:w="80"/>
              <w:right w:type="dxa" w:w="100"/>
            </w:tcMar>
            <w:vAlign w:val="center"/>
          </w:tcPr>
          <w:p>
            <w:r>
              <w:rPr>
                <w:rFonts w:ascii="Calibri" w:cs="Calibri" w:eastAsia="Calibri" w:hAnsi="Calibri"/>
                <w:sz w:val="18"/>
                <w:szCs w:val="18"/>
              </w:rPr>
              <w:t xml:space="preserve">Fase 4 — Auditoría código-UML</w:t>
            </w:r>
          </w:p>
        </w:tc>
        <w:tc>
          <w:tcPr>
            <w:tcW w:type="dxa" w:w="1800"/>
            <w:tcMar>
              <w:top w:type="dxa" w:w="80"/>
              <w:left w:type="dxa" w:w="100"/>
              <w:bottom w:type="dxa" w:w="80"/>
              <w:right w:type="dxa" w:w="100"/>
            </w:tcMar>
            <w:vAlign w:val="center"/>
          </w:tcPr>
          <w:p>
            <w:r>
              <w:rPr>
                <w:rFonts w:ascii="Calibri" w:cs="Calibri" w:eastAsia="Calibri" w:hAnsi="Calibri"/>
                <w:sz w:val="18"/>
                <w:szCs w:val="18"/>
              </w:rPr>
              <w:t xml:space="preserve">0</w:t>
            </w:r>
          </w:p>
        </w:tc>
        <w:tc>
          <w:tcPr>
            <w:tcW w:type="dxa" w:w="1800"/>
            <w:tcMar>
              <w:top w:type="dxa" w:w="80"/>
              <w:left w:type="dxa" w:w="100"/>
              <w:bottom w:type="dxa" w:w="80"/>
              <w:right w:type="dxa" w:w="100"/>
            </w:tcMar>
            <w:vAlign w:val="center"/>
          </w:tcPr>
          <w:p>
            <w:r>
              <w:rPr>
                <w:rFonts w:ascii="Calibri" w:cs="Calibri" w:eastAsia="Calibri" w:hAnsi="Calibri"/>
                <w:sz w:val="18"/>
                <w:szCs w:val="18"/>
              </w:rPr>
              <w:t xml:space="preserve">1</w:t>
            </w:r>
          </w:p>
        </w:tc>
        <w:tc>
          <w:tcPr>
            <w:tcW w:type="dxa" w:w="1800"/>
            <w:tcMar>
              <w:top w:type="dxa" w:w="80"/>
              <w:left w:type="dxa" w:w="100"/>
              <w:bottom w:type="dxa" w:w="80"/>
              <w:right w:type="dxa" w:w="100"/>
            </w:tcMar>
            <w:vAlign w:val="center"/>
          </w:tcPr>
          <w:p>
            <w:r>
              <w:rPr>
                <w:rFonts w:ascii="Calibri" w:cs="Calibri" w:eastAsia="Calibri" w:hAnsi="Calibri"/>
                <w:sz w:val="18"/>
                <w:szCs w:val="18"/>
              </w:rPr>
              <w:t xml:space="preserve">1</w:t>
            </w:r>
          </w:p>
        </w:tc>
        <w:tc>
          <w:tcPr>
            <w:tcW w:type="dxa" w:w="1840"/>
            <w:tcMar>
              <w:top w:type="dxa" w:w="80"/>
              <w:left w:type="dxa" w:w="100"/>
              <w:bottom w:type="dxa" w:w="80"/>
              <w:right w:type="dxa" w:w="100"/>
            </w:tcMar>
            <w:vAlign w:val="center"/>
          </w:tcPr>
          <w:p>
            <w:r>
              <w:rPr>
                <w:rFonts w:ascii="Calibri" w:cs="Calibri" w:eastAsia="Calibri" w:hAnsi="Calibri"/>
                <w:sz w:val="18"/>
                <w:szCs w:val="18"/>
              </w:rPr>
              <w:t xml:space="preserve">2</w:t>
            </w:r>
          </w:p>
        </w:tc>
      </w:tr>
      <w:tr>
        <w:tc>
          <w:tcPr>
            <w:tcW w:type="dxa" w:w="28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Total</w:t>
            </w:r>
          </w:p>
        </w:tc>
        <w:tc>
          <w:tcPr>
            <w:tcW w:type="dxa" w:w="18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2</w:t>
            </w:r>
          </w:p>
        </w:tc>
        <w:tc>
          <w:tcPr>
            <w:tcW w:type="dxa" w:w="18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2</w:t>
            </w:r>
          </w:p>
        </w:tc>
        <w:tc>
          <w:tcPr>
            <w:tcW w:type="dxa" w:w="180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1</w:t>
            </w:r>
          </w:p>
        </w:tc>
        <w:tc>
          <w:tcPr>
            <w:tcW w:type="dxa" w:w="1840"/>
            <w:shd w:fill="F2F2F2" w:color="auto" w:val="clear"/>
            <w:tcMar>
              <w:top w:type="dxa" w:w="80"/>
              <w:left w:type="dxa" w:w="100"/>
              <w:bottom w:type="dxa" w:w="80"/>
              <w:right w:type="dxa" w:w="100"/>
            </w:tcMar>
            <w:vAlign w:val="center"/>
          </w:tcPr>
          <w:p>
            <w:r>
              <w:rPr>
                <w:rFonts w:ascii="Calibri" w:cs="Calibri" w:eastAsia="Calibri" w:hAnsi="Calibri"/>
                <w:sz w:val="18"/>
                <w:szCs w:val="18"/>
              </w:rPr>
              <w:t xml:space="preserve">5</w:t>
            </w:r>
          </w:p>
        </w:tc>
      </w:tr>
    </w:tbl>
    <w:p>
      <w:pPr>
        <w:spacing w:after="160" w:line="276"/>
      </w:pPr>
      <w:r>
        <w:rPr>
          <w:rFonts w:ascii="Calibri" w:cs="Calibri" w:eastAsia="Calibri" w:hAnsi="Calibri"/>
          <w:i/>
          <w:iCs/>
          <w:color w:val="666666"/>
          <w:sz w:val="18"/>
          <w:szCs w:val="18"/>
        </w:rPr>
        <w:t xml:space="preserve">[Equipo: actualizar esta tabla a medida que se agreguen filas a la sección 2, y sumar las consultas de los demás frentes — dominio/LSP, dependencias/DIP, comportamiento/caracterización — que aún no están representadas aquí.]</w:t>
      </w:r>
    </w:p>
    <w:p>
      <w:pPr>
        <w:pStyle w:val="Heading1"/>
        <w:pBdr>
          <w:bottom w:val="single" w:color="1F3864" w:sz="6" w:space="4"/>
        </w:pBdr>
        <w:spacing w:after="160" w:before="360"/>
      </w:pPr>
      <w:r>
        <w:rPr>
          <w:rFonts w:ascii="Calibri" w:cs="Calibri" w:eastAsia="Calibri" w:hAnsi="Calibri"/>
          <w:b/>
          <w:bCs/>
          <w:color w:val="1F3864"/>
          <w:sz w:val="30"/>
          <w:szCs w:val="30"/>
        </w:rPr>
        <w:t xml:space="preserve">5. Plantilla para nuevas entradas</w:t>
      </w:r>
    </w:p>
    <w:p>
      <w:pPr>
        <w:spacing w:after="160" w:line="276"/>
      </w:pPr>
      <w:r>
        <w:rPr>
          <w:rFonts w:ascii="Calibri" w:cs="Calibri" w:eastAsia="Calibri" w:hAnsi="Calibri"/>
          <w:sz w:val="21"/>
          <w:szCs w:val="21"/>
        </w:rPr>
        <w:t xml:space="preserve">Cada integrante agrega filas a la tabla de la sección 2 con este formato (columnas resumidas para esta vista):</w:t>
      </w:r>
    </w:p>
    <w:tbl>
      <w:tblPr>
        <w:tblW w:type="dxa" w:w="974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800"/>
        <w:gridCol w:w="3540"/>
      </w:tblGrid>
      <w:tr>
        <w:trPr>
          <w:tblHeader/>
        </w:trPr>
        <w:tc>
          <w:tcPr>
            <w:tcW w:type="dxa" w:w="12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w:t>
            </w:r>
          </w:p>
        </w:tc>
        <w:tc>
          <w:tcPr>
            <w:tcW w:type="dxa" w:w="22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Fase / Frente</w:t>
            </w:r>
          </w:p>
        </w:tc>
        <w:tc>
          <w:tcPr>
            <w:tcW w:type="dxa" w:w="280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Herramienta + qué se le pidió</w:t>
            </w:r>
          </w:p>
        </w:tc>
        <w:tc>
          <w:tcPr>
            <w:tcW w:type="dxa" w:w="3540"/>
            <w:shd w:fill="1F3864"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Decisión + argumento técnico específico</w:t>
            </w:r>
          </w:p>
        </w:tc>
      </w:tr>
      <w:tr>
        <w:tc>
          <w:tcPr>
            <w:tcW w:type="dxa" w:w="1200"/>
            <w:tcMar>
              <w:top w:type="dxa" w:w="80"/>
              <w:left w:type="dxa" w:w="100"/>
              <w:bottom w:type="dxa" w:w="80"/>
              <w:right w:type="dxa" w:w="100"/>
            </w:tcMar>
            <w:vAlign w:val="center"/>
          </w:tcPr>
          <w:p>
            <w:r>
              <w:rPr>
                <w:rFonts w:ascii="Calibri" w:cs="Calibri" w:eastAsia="Calibri" w:hAnsi="Calibri"/>
                <w:sz w:val="18"/>
                <w:szCs w:val="18"/>
              </w:rPr>
              <w:t xml:space="preserve">XX</w:t>
            </w:r>
          </w:p>
        </w:tc>
        <w:tc>
          <w:tcPr>
            <w:tcW w:type="dxa" w:w="2200"/>
            <w:tcMar>
              <w:top w:type="dxa" w:w="80"/>
              <w:left w:type="dxa" w:w="100"/>
              <w:bottom w:type="dxa" w:w="80"/>
              <w:right w:type="dxa" w:w="100"/>
            </w:tcMar>
            <w:vAlign w:val="center"/>
          </w:tcPr>
          <w:p>
            <w:r>
              <w:rPr>
                <w:rFonts w:ascii="Calibri" w:cs="Calibri" w:eastAsia="Calibri" w:hAnsi="Calibri"/>
                <w:sz w:val="18"/>
                <w:szCs w:val="18"/>
              </w:rPr>
              <w:t xml:space="preserve">Fase / Frente</w:t>
            </w:r>
          </w:p>
        </w:tc>
        <w:tc>
          <w:tcPr>
            <w:tcW w:type="dxa" w:w="2800"/>
            <w:tcMar>
              <w:top w:type="dxa" w:w="80"/>
              <w:left w:type="dxa" w:w="100"/>
              <w:bottom w:type="dxa" w:w="80"/>
              <w:right w:type="dxa" w:w="100"/>
            </w:tcMar>
            <w:vAlign w:val="center"/>
          </w:tcPr>
          <w:p>
            <w:r>
              <w:rPr>
                <w:rFonts w:ascii="Calibri" w:cs="Calibri" w:eastAsia="Calibri" w:hAnsi="Calibri"/>
                <w:sz w:val="18"/>
                <w:szCs w:val="18"/>
              </w:rPr>
              <w:t xml:space="preserve">En una frase</w:t>
            </w:r>
          </w:p>
        </w:tc>
        <w:tc>
          <w:tcPr>
            <w:tcW w:type="dxa" w:w="3540"/>
            <w:tcMar>
              <w:top w:type="dxa" w:w="80"/>
              <w:left w:type="dxa" w:w="100"/>
              <w:bottom w:type="dxa" w:w="80"/>
              <w:right w:type="dxa" w:w="100"/>
            </w:tcMar>
            <w:vAlign w:val="center"/>
          </w:tcPr>
          <w:p>
            <w:r>
              <w:rPr>
                <w:rFonts w:ascii="Calibri" w:cs="Calibri" w:eastAsia="Calibri" w:hAnsi="Calibri"/>
                <w:sz w:val="18"/>
                <w:szCs w:val="18"/>
              </w:rPr>
              <w:t xml:space="preserve">Aceptado/Corregido/Rechazado — por qué, no una impresión general</w:t>
            </w:r>
          </w:p>
        </w:tc>
      </w:tr>
    </w:tbl>
    <w:p>
      <w:pPr>
        <w:spacing w:after="160" w:line="276"/>
      </w:pPr>
      <w:r>
        <w:rPr>
          <w:rFonts w:ascii="Calibri" w:cs="Calibri" w:eastAsia="Calibri" w:hAnsi="Calibri"/>
          <w:i/>
          <w:iCs/>
          <w:color w:val="666666"/>
          <w:sz w:val="18"/>
          <w:szCs w:val="18"/>
        </w:rPr>
        <w:t xml:space="preserve">Una entrada sin argumento técnico específico (por ejemplo, “se revisó y estaba bien”) no cuenta como evidencia de juicio para el criterio 6 de la rúbrica.</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2026-08-10T19:20:58.115Z</dcterms:created>
  <dcterms:modified xsi:type="dcterms:W3CDTF">2026-08-10T19:20:58.116Z</dcterms:modified>
</cp:coreProperties>
</file>

<file path=docProps/custom.xml><?xml version="1.0" encoding="utf-8"?>
<Properties xmlns="http://schemas.openxmlformats.org/officeDocument/2006/custom-properties" xmlns:vt="http://schemas.openxmlformats.org/officeDocument/2006/docPropsVTypes"/>
</file>