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9B02D3" w:rsidRDefault="009B02D3" w:rsidP="009B02D3">
      <w:r>
        <w:tab/>
      </w:r>
      <w:r>
        <w:tab/>
        <w:t xml:space="preserve">2.1.2.2 </w:t>
      </w:r>
      <w:proofErr w:type="spellStart"/>
      <w:r>
        <w:t>Numpy</w:t>
      </w:r>
      <w:proofErr w:type="spellEnd"/>
    </w:p>
    <w:p w:rsidR="009B02D3" w:rsidRDefault="009B02D3" w:rsidP="009B02D3">
      <w:r>
        <w:t xml:space="preserve">Es una librería especializada en el cálculo numérico y análisis de datos. Incorpora una nueva clase de objetos llamadas </w:t>
      </w:r>
      <w:proofErr w:type="spellStart"/>
      <w:r>
        <w:rPr>
          <w:b/>
        </w:rPr>
        <w:t>arrays</w:t>
      </w:r>
      <w:proofErr w:type="spellEnd"/>
      <w:r>
        <w:rPr>
          <w:b/>
        </w:rPr>
        <w:t xml:space="preserve">,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w:t>
      </w:r>
      <w:proofErr w:type="spellStart"/>
      <w:r>
        <w:rPr>
          <w:i/>
        </w:rPr>
        <w:t>Numpy</w:t>
      </w:r>
      <w:proofErr w:type="spellEnd"/>
      <w:r>
        <w:rPr>
          <w:i/>
        </w:rPr>
        <w:t xml:space="preserve"> </w:t>
      </w:r>
      <w:r>
        <w:rPr>
          <w:rStyle w:val="Refdenotaalpie"/>
          <w:i/>
        </w:rPr>
        <w:footnoteReference w:id="3"/>
      </w:r>
    </w:p>
    <w:p w:rsidR="00A519F8" w:rsidRDefault="007B220A" w:rsidP="00C06778">
      <w:pPr>
        <w:pStyle w:val="Ttulo3"/>
      </w:pPr>
      <w:r>
        <w:tab/>
      </w:r>
      <w:r>
        <w:tab/>
      </w:r>
      <w:r w:rsidR="009B02D3">
        <w:t>2.1.2.3</w:t>
      </w:r>
      <w:r>
        <w:t xml:space="preserve">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6D03C9" w:rsidRDefault="006D03C9" w:rsidP="00A519F8">
      <w:pPr>
        <w:jc w:val="left"/>
      </w:pPr>
    </w:p>
    <w:p w:rsidR="006D03C9" w:rsidRDefault="006D03C9" w:rsidP="00A519F8">
      <w:pPr>
        <w:jc w:val="left"/>
      </w:pPr>
      <w:r>
        <w:tab/>
      </w:r>
      <w:r>
        <w:tab/>
        <w:t xml:space="preserve">2.1.2.4 </w:t>
      </w:r>
      <w:proofErr w:type="spellStart"/>
      <w:r>
        <w:t>PySerial</w:t>
      </w:r>
      <w:proofErr w:type="spellEnd"/>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6"/>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w:t>
      </w:r>
      <w:r w:rsidR="00B14348">
        <w:lastRenderedPageBreak/>
        <w:t xml:space="preserve">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lastRenderedPageBreak/>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lastRenderedPageBreak/>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lastRenderedPageBreak/>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lastRenderedPageBreak/>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288290"/>
                    </a:xfrm>
                    <a:prstGeom prst="rect">
                      <a:avLst/>
                    </a:prstGeom>
                  </pic:spPr>
                </pic:pic>
              </a:graphicData>
            </a:graphic>
          </wp:inline>
        </w:drawing>
      </w:r>
    </w:p>
    <w:p w:rsidR="00745A68" w:rsidRDefault="00B96136" w:rsidP="009A7ADE">
      <w:r>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w:t>
            </w:r>
            <w:proofErr w:type="spellStart"/>
            <w:r w:rsidRPr="0051501E">
              <w:rPr>
                <w:sz w:val="20"/>
              </w:rPr>
              <w:t>Px</w:t>
            </w:r>
            <w:proofErr w:type="spellEnd"/>
            <w:r w:rsidRPr="0051501E">
              <w:rPr>
                <w:sz w:val="20"/>
              </w:rPr>
              <w:t>]</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w:t>
      </w:r>
      <w:proofErr w:type="spellStart"/>
      <w:r>
        <w:t>PySerial</w:t>
      </w:r>
      <w:proofErr w:type="spellEnd"/>
      <w:r>
        <w:t xml:space="preserve"> es la encargada de establecer esta comunicación. En primer </w:t>
      </w:r>
      <w:proofErr w:type="gramStart"/>
      <w:r>
        <w:t>lugar</w:t>
      </w:r>
      <w:proofErr w:type="gramEnd"/>
      <w:r>
        <w:t xml:space="preserve"> se deberá inicializar la comunicación, esto se hace con la función </w:t>
      </w:r>
      <w:r>
        <w:rPr>
          <w:i/>
        </w:rPr>
        <w:t>serial</w:t>
      </w:r>
      <w:r>
        <w:t xml:space="preserve"> que recibe como parámetros el puerto donde </w:t>
      </w:r>
      <w:proofErr w:type="spellStart"/>
      <w:r>
        <w:t>esta</w:t>
      </w:r>
      <w:proofErr w:type="spellEnd"/>
      <w:r>
        <w:t xml:space="preserve">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proofErr w:type="spellStart"/>
      <w:r>
        <w:rPr>
          <w:i/>
        </w:rPr>
        <w:t>write</w:t>
      </w:r>
      <w:proofErr w:type="spellEnd"/>
      <w:r w:rsidR="0007469D">
        <w:t xml:space="preserve"> para </w:t>
      </w:r>
      <w:proofErr w:type="spellStart"/>
      <w:r w:rsidR="0007469D">
        <w:t>iniciar</w:t>
      </w:r>
      <w:r>
        <w:t>r</w:t>
      </w:r>
      <w:proofErr w:type="spellEnd"/>
      <w:r>
        <w:t xml:space="preserve">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w:t>
      </w:r>
      <w:proofErr w:type="gramStart"/>
      <w:r>
        <w:t>lugar</w:t>
      </w:r>
      <w:proofErr w:type="gramEnd"/>
      <w:r>
        <w:t xml:space="preserve"> el </w:t>
      </w:r>
      <w:proofErr w:type="spellStart"/>
      <w:r>
        <w:t>display</w:t>
      </w:r>
      <w:proofErr w:type="spellEnd"/>
      <w:r>
        <w:t xml:space="preserve"> y por último los leds.  </w:t>
      </w:r>
    </w:p>
    <w:p w:rsidR="00722857" w:rsidRDefault="00722857" w:rsidP="009A7ADE">
      <w:r>
        <w:t>Para el desarrollo del programa nos ayudaremos con las siguientes librerías:</w:t>
      </w:r>
    </w:p>
    <w:p w:rsidR="00722857" w:rsidRDefault="00722857" w:rsidP="009A7ADE">
      <w:r w:rsidRPr="00722857">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w:t>
      </w:r>
      <w:proofErr w:type="spellStart"/>
      <w:r>
        <w:t>display</w:t>
      </w:r>
      <w:proofErr w:type="spellEnd"/>
      <w:r>
        <w:t xml:space="preserve"> el cual tendrá una comunicación con el microcontrolador por i2c en la dirección 0x27. Aquí también se definen los parámetros de cuantas filas y columnas tendrá </w:t>
      </w:r>
      <w:r w:rsidR="001F490E">
        <w:t xml:space="preserve">nuestro </w:t>
      </w:r>
      <w:proofErr w:type="spellStart"/>
      <w:r w:rsidR="001F490E">
        <w:t>display</w:t>
      </w:r>
      <w:proofErr w:type="spellEnd"/>
      <w:r w:rsidR="001F490E">
        <w:t xml:space="preserve"> en este caso es de 16x2</w:t>
      </w:r>
    </w:p>
    <w:p w:rsidR="001F490E" w:rsidRDefault="001F490E" w:rsidP="009A7ADE">
      <w:r w:rsidRPr="001F490E">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w:t>
      </w:r>
      <w:proofErr w:type="spellStart"/>
      <w:r>
        <w:t>display</w:t>
      </w:r>
      <w:proofErr w:type="spellEnd"/>
      <w:r>
        <w:t xml:space="preserve"> </w:t>
      </w:r>
    </w:p>
    <w:p w:rsidR="001F490E" w:rsidRDefault="001F490E" w:rsidP="009A7ADE">
      <w:r w:rsidRPr="001F490E">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979805"/>
                    </a:xfrm>
                    <a:prstGeom prst="rect">
                      <a:avLst/>
                    </a:prstGeom>
                  </pic:spPr>
                </pic:pic>
              </a:graphicData>
            </a:graphic>
          </wp:inline>
        </w:drawing>
      </w:r>
    </w:p>
    <w:p w:rsidR="001F490E" w:rsidRDefault="00D45515" w:rsidP="009A7ADE">
      <w:r>
        <w:t xml:space="preserve">Continuando con nuestro programa entramos a definir lo que se ejecutara indefinidamente en nuestro </w:t>
      </w:r>
      <w:proofErr w:type="spellStart"/>
      <w:r>
        <w:t>loop</w:t>
      </w:r>
      <w:proofErr w:type="spellEnd"/>
      <w:r>
        <w:t xml:space="preserve">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w:t>
      </w:r>
      <w:proofErr w:type="spellStart"/>
      <w:r>
        <w:t>display</w:t>
      </w:r>
      <w:proofErr w:type="spellEnd"/>
      <w:r>
        <w:t xml:space="preserve"> un mensaje de que el limón es aceptado para exportación</w:t>
      </w:r>
      <w:r w:rsidR="006C5A1C">
        <w:t xml:space="preserve">, esto después se replica para los casos en el que el limón es verde o rechazado. </w:t>
      </w:r>
      <w:bookmarkStart w:id="0" w:name="_GoBack"/>
      <w:bookmarkEnd w:id="0"/>
      <w:r>
        <w:t xml:space="preserve"> </w:t>
      </w:r>
    </w:p>
    <w:p w:rsidR="001F490E" w:rsidRDefault="00D45515" w:rsidP="009A7ADE">
      <w:r w:rsidRPr="00D45515">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6AF" w:rsidRDefault="00F226AF" w:rsidP="003705D6">
      <w:r>
        <w:separator/>
      </w:r>
    </w:p>
  </w:endnote>
  <w:endnote w:type="continuationSeparator" w:id="0">
    <w:p w:rsidR="00F226AF" w:rsidRDefault="00F226AF"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6AF" w:rsidRDefault="00F226AF" w:rsidP="003705D6">
      <w:r>
        <w:separator/>
      </w:r>
    </w:p>
  </w:footnote>
  <w:footnote w:type="continuationSeparator" w:id="0">
    <w:p w:rsidR="00F226AF" w:rsidRDefault="00F226AF"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7469D"/>
    <w:rsid w:val="000857FE"/>
    <w:rsid w:val="00093533"/>
    <w:rsid w:val="000A45EA"/>
    <w:rsid w:val="000D555E"/>
    <w:rsid w:val="000F543A"/>
    <w:rsid w:val="00133569"/>
    <w:rsid w:val="00162CC1"/>
    <w:rsid w:val="00163BF1"/>
    <w:rsid w:val="001760FA"/>
    <w:rsid w:val="00184C0A"/>
    <w:rsid w:val="001A0117"/>
    <w:rsid w:val="001C341A"/>
    <w:rsid w:val="001F490E"/>
    <w:rsid w:val="00203CC3"/>
    <w:rsid w:val="00212684"/>
    <w:rsid w:val="002A2091"/>
    <w:rsid w:val="003359FC"/>
    <w:rsid w:val="003453E0"/>
    <w:rsid w:val="003503A9"/>
    <w:rsid w:val="003705D6"/>
    <w:rsid w:val="003A224E"/>
    <w:rsid w:val="003D6C91"/>
    <w:rsid w:val="003D7CF5"/>
    <w:rsid w:val="003E12E8"/>
    <w:rsid w:val="003E4D2D"/>
    <w:rsid w:val="0042772D"/>
    <w:rsid w:val="004371EC"/>
    <w:rsid w:val="00472E93"/>
    <w:rsid w:val="004B62E1"/>
    <w:rsid w:val="00505038"/>
    <w:rsid w:val="0051501E"/>
    <w:rsid w:val="0052134E"/>
    <w:rsid w:val="00521C42"/>
    <w:rsid w:val="005675F9"/>
    <w:rsid w:val="00582B77"/>
    <w:rsid w:val="00584DBC"/>
    <w:rsid w:val="00597965"/>
    <w:rsid w:val="005A7943"/>
    <w:rsid w:val="005D798F"/>
    <w:rsid w:val="005E524D"/>
    <w:rsid w:val="00616009"/>
    <w:rsid w:val="006A2129"/>
    <w:rsid w:val="006A3BD0"/>
    <w:rsid w:val="006C4A67"/>
    <w:rsid w:val="006C5A1C"/>
    <w:rsid w:val="006D03C9"/>
    <w:rsid w:val="006D4F81"/>
    <w:rsid w:val="00722857"/>
    <w:rsid w:val="00745A68"/>
    <w:rsid w:val="007A0EAA"/>
    <w:rsid w:val="007B07B6"/>
    <w:rsid w:val="007B220A"/>
    <w:rsid w:val="00814372"/>
    <w:rsid w:val="008301AA"/>
    <w:rsid w:val="008558A3"/>
    <w:rsid w:val="00930194"/>
    <w:rsid w:val="009A7ADE"/>
    <w:rsid w:val="009B02D3"/>
    <w:rsid w:val="009B64FC"/>
    <w:rsid w:val="00A10D27"/>
    <w:rsid w:val="00A519F8"/>
    <w:rsid w:val="00AB6AC8"/>
    <w:rsid w:val="00AF1BF0"/>
    <w:rsid w:val="00AF7706"/>
    <w:rsid w:val="00B0286E"/>
    <w:rsid w:val="00B14348"/>
    <w:rsid w:val="00B21D5E"/>
    <w:rsid w:val="00B71385"/>
    <w:rsid w:val="00B92B10"/>
    <w:rsid w:val="00B96136"/>
    <w:rsid w:val="00BE1DA8"/>
    <w:rsid w:val="00C06778"/>
    <w:rsid w:val="00C92B76"/>
    <w:rsid w:val="00CA6E42"/>
    <w:rsid w:val="00D45515"/>
    <w:rsid w:val="00D63A29"/>
    <w:rsid w:val="00D664D0"/>
    <w:rsid w:val="00D955C0"/>
    <w:rsid w:val="00DD0428"/>
    <w:rsid w:val="00E751CE"/>
    <w:rsid w:val="00EC03A0"/>
    <w:rsid w:val="00EC344F"/>
    <w:rsid w:val="00F02D97"/>
    <w:rsid w:val="00F226AF"/>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18B00"/>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957B1-C712-4A1B-8694-9BE48B7D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17</Pages>
  <Words>2469</Words>
  <Characters>13583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30</cp:revision>
  <dcterms:created xsi:type="dcterms:W3CDTF">2022-09-10T13:50:00Z</dcterms:created>
  <dcterms:modified xsi:type="dcterms:W3CDTF">2022-09-25T02:21:00Z</dcterms:modified>
</cp:coreProperties>
</file>