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Plantilla de Analisis y Seleccion de Patrones GoF</w:t>
      </w:r>
    </w:p>
    <w:p>
      <w:pPr>
        <w:spacing w:after="120"/>
      </w:pPr>
      <w:r>
        <w:rPr>
          <w:i/>
          <w:iCs/>
          <w:color w:val="6B6B6B"/>
        </w:rPr>
        <w:t xml:space="preserve">Sistema de Gestion de Barberia — Entregable 2 — Diseno de Sistemas de Informacion</w:t>
      </w:r>
    </w:p>
    <w:p>
      <w:pPr>
        <w:spacing w:after="120"/>
      </w:pPr>
      <w:r>
        <w:rPr>
          <w:color w:val="6B6B6B"/>
        </w:rPr>
        <w:t xml:space="preserve">Integrantes: Oscar Esteban Cruz Rodriguez, Juan Jose Rueda Alvarez</w:t>
      </w:r>
    </w:p>
    <w:p>
      <w:pPr>
        <w:spacing w:after="200"/>
      </w:pPr>
    </w:p>
    <w:p>
      <w:pPr>
        <w:pStyle w:val="Heading1"/>
        <w:spacing w:after="150" w:before="300"/>
      </w:pPr>
      <w:r>
        <w:t xml:space="preserve">Criterios de seleccion aplicados</w:t>
      </w:r>
    </w:p>
    <w:p>
      <w:pPr>
        <w:spacing w:after="120"/>
      </w:pPr>
      <w:r>
        <w:t xml:space="preserve">Se seleccionaron tres (3) patrones GoF, cada uno resolviendo una necesidad real y distinta dentro del alcance del MVP (Release 1 del Story Map definido en el Entregable 1), evitando sobreingenieria y solapamiento entre ellos:</w:t>
      </w:r>
    </w:p>
    <w:p>
      <w:pPr>
        <w:spacing w:after="120"/>
      </w:pPr>
      <w:r>
        <w:t xml:space="preserve">1. STRATEGY — variacion del calculo de comision segun el tipo de barbero.</w:t>
      </w:r>
    </w:p>
    <w:p>
      <w:pPr>
        <w:spacing w:after="120"/>
      </w:pPr>
      <w:r>
        <w:t xml:space="preserve">2. BUILDER — construccion del objeto ReporteFinanciero con multiples campos opcionales.</w:t>
      </w:r>
    </w:p>
    <w:p>
      <w:pPr>
        <w:spacing w:after="120"/>
      </w:pPr>
      <w:r>
        <w:t xml:space="preserve">3. OBSERVER — notificacion y actualizacion de vistas cuando cambia el estado de una Cita.</w:t>
      </w:r>
    </w:p>
    <w:p>
      <w:pPr>
        <w:spacing w:after="200"/>
      </w:pPr>
    </w:p>
    <w:p>
      <w:pPr>
        <w:pStyle w:val="Heading1"/>
        <w:spacing w:after="150" w:before="300"/>
      </w:pPr>
      <w:r>
        <w:t xml:space="preserve">Patron: STRATEGY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Necesidad concreta del MVP</w:t>
            </w:r>
          </w:p>
        </w:tc>
        <w:tc>
          <w:tcPr>
            <w:tcW w:type="dxa" w:w="6850"/>
            <w:tcMar>
              <w:top w:type="dxa" w:w="100"/>
              <w:left w:type="dxa" w:w="120"/>
              <w:bottom w:type="dxa" w:w="100"/>
              <w:right w:type="dxa" w:w="120"/>
            </w:tcMar>
            <w:vAlign w:val="center"/>
          </w:tcPr>
          <w:p>
            <w:r>
              <w:rPr>
                <w:b w:val="false"/>
                <w:bCs w:val="false"/>
                <w:color w:val="000000"/>
              </w:rPr>
              <w:t xml:space="preserve">RN-01/RN-02 definen que un barbero-empleado recibe 60% y el dueno 40%, pero el Entregable 1 confirmo una excepcion real de negocio: si el corte lo realiza el propio Dueno, este recibe el 100% (no aplica el reparto 60/40). Se necesita que Corte calcule la comision correcta sin conocer el tipo concreto de barbero (HU-13).</w:t>
            </w:r>
          </w:p>
        </w:tc>
      </w:tr>
      <w:tr>
        <w:tc>
          <w:tcPr>
            <w:tcW w:type="dxa" w:w="2500"/>
            <w:shd w:fill="F5F4F0" w:val="clear"/>
            <w:tcMar>
              <w:top w:type="dxa" w:w="100"/>
              <w:left w:type="dxa" w:w="120"/>
              <w:bottom w:type="dxa" w:w="100"/>
              <w:right w:type="dxa" w:w="120"/>
            </w:tcMar>
            <w:vAlign w:val="center"/>
          </w:tcPr>
          <w:p>
            <w:r>
              <w:rPr>
                <w:b/>
                <w:bCs/>
                <w:color w:val="000000"/>
              </w:rPr>
              <w:t xml:space="preserve">Descripcion del patron</w:t>
            </w:r>
          </w:p>
        </w:tc>
        <w:tc>
          <w:tcPr>
            <w:tcW w:type="dxa" w:w="6850"/>
            <w:tcMar>
              <w:top w:type="dxa" w:w="100"/>
              <w:left w:type="dxa" w:w="120"/>
              <w:bottom w:type="dxa" w:w="100"/>
              <w:right w:type="dxa" w:w="120"/>
            </w:tcMar>
            <w:vAlign w:val="center"/>
          </w:tcPr>
          <w:p>
            <w:r>
              <w:rPr>
                <w:b w:val="false"/>
                <w:bCs w:val="false"/>
                <w:color w:val="000000"/>
              </w:rPr>
              <w:t xml:space="preserve">Patron de comportamiento que define una familia de algoritmos intercambiables (CalculadoraComisionStrategy), encapsula cada uno por separado y permite seleccionarlos en tiempo de ejecucion segun el contexto.</w:t>
            </w:r>
          </w:p>
        </w:tc>
      </w:tr>
      <w:tr>
        <w:tc>
          <w:tcPr>
            <w:tcW w:type="dxa" w:w="2500"/>
            <w:shd w:fill="F5F4F0" w:val="clear"/>
            <w:tcMar>
              <w:top w:type="dxa" w:w="100"/>
              <w:left w:type="dxa" w:w="120"/>
              <w:bottom w:type="dxa" w:w="100"/>
              <w:right w:type="dxa" w:w="120"/>
            </w:tcMar>
            <w:vAlign w:val="center"/>
          </w:tcPr>
          <w:p>
            <w:r>
              <w:rPr>
                <w:b/>
                <w:bCs/>
                <w:color w:val="000000"/>
              </w:rPr>
              <w:t xml:space="preserve">Alternativas consideradas</w:t>
            </w:r>
          </w:p>
        </w:tc>
        <w:tc>
          <w:tcPr>
            <w:tcW w:type="dxa" w:w="6850"/>
            <w:tcMar>
              <w:top w:type="dxa" w:w="100"/>
              <w:left w:type="dxa" w:w="120"/>
              <w:bottom w:type="dxa" w:w="100"/>
              <w:right w:type="dxa" w:w="120"/>
            </w:tcMar>
            <w:vAlign w:val="center"/>
          </w:tcPr>
          <w:p>
            <w:r>
              <w:rPr>
                <w:b w:val="false"/>
                <w:bCs w:val="false"/>
                <w:color w:val="000000"/>
              </w:rPr>
              <w:t xml:space="preserve">Se considero resolverlo con una cadena de if/else en Corte (if barbero instanceof Dueno ...), descartada por violar el Principio Abierto/Cerrado (OCP): cada nuevo tipo de barbero o regla de comision futura obligaria a modificar Corte. Tambien se considero resolverlo solo con polimorfismo de herencia (metodo calcularComision() sobrescrito en Dueno), que funciona pero mezcla la decision de 'que estrategia usar' dentro de la jerarquia de Usuario; Strategy separa esa decision en un objeto independiente, mas facil de testear y de extender (por ejemplo, un futuro barbero 'estrella' con 70/30 solo exige una clase nueva).</w:t>
            </w:r>
          </w:p>
        </w:tc>
      </w:tr>
      <w:tr>
        <w:tc>
          <w:tcPr>
            <w:tcW w:type="dxa" w:w="2500"/>
            <w:shd w:fill="F5F4F0" w:val="clear"/>
            <w:tcMar>
              <w:top w:type="dxa" w:w="100"/>
              <w:left w:type="dxa" w:w="120"/>
              <w:bottom w:type="dxa" w:w="100"/>
              <w:right w:type="dxa" w:w="120"/>
            </w:tcMar>
            <w:vAlign w:val="center"/>
          </w:tcPr>
          <w:p>
            <w:r>
              <w:rPr>
                <w:b/>
                <w:bCs/>
                <w:color w:val="000000"/>
              </w:rPr>
              <w:t xml:space="preserve">Aplicacion concreta en el diseno</w:t>
            </w:r>
          </w:p>
        </w:tc>
        <w:tc>
          <w:tcPr>
            <w:tcW w:type="dxa" w:w="6850"/>
            <w:tcMar>
              <w:top w:type="dxa" w:w="100"/>
              <w:left w:type="dxa" w:w="120"/>
              <w:bottom w:type="dxa" w:w="100"/>
              <w:right w:type="dxa" w:w="120"/>
            </w:tcMar>
            <w:vAlign w:val="center"/>
          </w:tcPr>
          <w:p>
            <w:r>
              <w:rPr>
                <w:b w:val="false"/>
                <w:bCs w:val="false"/>
                <w:color w:val="000000"/>
              </w:rPr>
              <w:t xml:space="preserve">CalculadoraComisionStrategy (interfaz) con ComisionBarberoEmpleadoStrategy (60/40) y ComisionDuenoStrategy (100/0). Barbero mantiene una referencia a la estrategia (por defecto, empleado); el constructor de Dueno la reemplaza por la estrategia de dueno. Corte.generarComision() delega en barbero.calcularComision(valorCobrado), sin condicionales.</w:t>
            </w:r>
          </w:p>
        </w:tc>
      </w:tr>
      <w:tr>
        <w:tc>
          <w:tcPr>
            <w:tcW w:type="dxa" w:w="2500"/>
            <w:shd w:fill="F5F4F0" w:val="clear"/>
            <w:tcMar>
              <w:top w:type="dxa" w:w="100"/>
              <w:left w:type="dxa" w:w="120"/>
              <w:bottom w:type="dxa" w:w="100"/>
              <w:right w:type="dxa" w:w="120"/>
            </w:tcMar>
            <w:vAlign w:val="center"/>
          </w:tcPr>
          <w:p>
            <w:r>
              <w:rPr>
                <w:b/>
                <w:bCs/>
                <w:color w:val="000000"/>
              </w:rPr>
              <w:t xml:space="preserve">Justificacion de la seleccion</w:t>
            </w:r>
          </w:p>
        </w:tc>
        <w:tc>
          <w:tcPr>
            <w:tcW w:type="dxa" w:w="6850"/>
            <w:tcMar>
              <w:top w:type="dxa" w:w="100"/>
              <w:left w:type="dxa" w:w="120"/>
              <w:bottom w:type="dxa" w:w="100"/>
              <w:right w:type="dxa" w:w="120"/>
            </w:tcMar>
            <w:vAlign w:val="center"/>
          </w:tcPr>
          <w:p>
            <w:r>
              <w:rPr>
                <w:b w:val="false"/>
                <w:bCs w:val="false"/>
                <w:color w:val="000000"/>
              </w:rPr>
              <w:t xml:space="preserve">Evita violar OCP; aisla una regla de negocio variable (RN-01/RN-02 + excepcion del dueno) en clases independientes y testeables; facilita agregar nuevas politicas de comision (p. ej. barberos estrella en Release 2) sin tocar Corte ni Barbero.</w:t>
            </w:r>
          </w:p>
        </w:tc>
      </w:tr>
      <w:tr>
        <w:tc>
          <w:tcPr>
            <w:tcW w:type="dxa" w:w="2500"/>
            <w:shd w:fill="F5F4F0" w:val="clear"/>
            <w:tcMar>
              <w:top w:type="dxa" w:w="100"/>
              <w:left w:type="dxa" w:w="120"/>
              <w:bottom w:type="dxa" w:w="100"/>
              <w:right w:type="dxa" w:w="120"/>
            </w:tcMar>
            <w:vAlign w:val="center"/>
          </w:tcPr>
          <w:p>
            <w:r>
              <w:rPr>
                <w:b/>
                <w:bCs/>
                <w:color w:val="000000"/>
              </w:rPr>
              <w:t xml:space="preserve">Validacion de no solapamiento</w:t>
            </w:r>
          </w:p>
        </w:tc>
        <w:tc>
          <w:tcPr>
            <w:tcW w:type="dxa" w:w="6850"/>
            <w:tcMar>
              <w:top w:type="dxa" w:w="100"/>
              <w:left w:type="dxa" w:w="120"/>
              <w:bottom w:type="dxa" w:w="100"/>
              <w:right w:type="dxa" w:w="120"/>
            </w:tcMar>
            <w:vAlign w:val="center"/>
          </w:tcPr>
          <w:p>
            <w:r>
              <w:rPr>
                <w:b w:val="false"/>
                <w:bCs w:val="false"/>
                <w:color w:val="000000"/>
              </w:rPr>
              <w:t xml:space="preserve">No se solapa con Builder (que ensambla un reporte, no calcula comisiones) ni con Observer (que notifica cambios de estado, no decide montos).</w:t>
            </w:r>
          </w:p>
        </w:tc>
      </w:tr>
    </w:tbl>
    <w:p>
      <w:pPr>
        <w:spacing w:after="200"/>
      </w:pPr>
    </w:p>
    <w:p>
      <w:pPr>
        <w:pStyle w:val="Heading1"/>
        <w:spacing w:after="150" w:before="300"/>
      </w:pPr>
      <w:r>
        <w:t xml:space="preserve">Patron: BUILDER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Necesidad concreta del MVP</w:t>
            </w:r>
          </w:p>
        </w:tc>
        <w:tc>
          <w:tcPr>
            <w:tcW w:type="dxa" w:w="6850"/>
            <w:tcMar>
              <w:top w:type="dxa" w:w="100"/>
              <w:left w:type="dxa" w:w="120"/>
              <w:bottom w:type="dxa" w:w="100"/>
              <w:right w:type="dxa" w:w="120"/>
            </w:tcMar>
            <w:vAlign w:val="center"/>
          </w:tcPr>
          <w:p>
            <w:r>
              <w:rPr>
                <w:b w:val="false"/>
                <w:bCs w:val="false"/>
                <w:color w:val="000000"/>
              </w:rPr>
              <w:t xml:space="preserve">El reporte financiero (HU-15/HU-16/HU-20) agrega varios datos opcionales y derivados: ingresos brutos, comisiones pagadas, gastos operativos, utilidad neta (RN-03) y desglose por barbero. Construirlo con un constructor con muchos parametros seria propenso a errores de orden y dificil de leer.</w:t>
            </w:r>
          </w:p>
        </w:tc>
      </w:tr>
      <w:tr>
        <w:tc>
          <w:tcPr>
            <w:tcW w:type="dxa" w:w="2500"/>
            <w:shd w:fill="F5F4F0" w:val="clear"/>
            <w:tcMar>
              <w:top w:type="dxa" w:w="100"/>
              <w:left w:type="dxa" w:w="120"/>
              <w:bottom w:type="dxa" w:w="100"/>
              <w:right w:type="dxa" w:w="120"/>
            </w:tcMar>
            <w:vAlign w:val="center"/>
          </w:tcPr>
          <w:p>
            <w:r>
              <w:rPr>
                <w:b/>
                <w:bCs/>
                <w:color w:val="000000"/>
              </w:rPr>
              <w:t xml:space="preserve">Descripcion del patron</w:t>
            </w:r>
          </w:p>
        </w:tc>
        <w:tc>
          <w:tcPr>
            <w:tcW w:type="dxa" w:w="6850"/>
            <w:tcMar>
              <w:top w:type="dxa" w:w="100"/>
              <w:left w:type="dxa" w:w="120"/>
              <w:bottom w:type="dxa" w:w="100"/>
              <w:right w:type="dxa" w:w="120"/>
            </w:tcMar>
            <w:vAlign w:val="center"/>
          </w:tcPr>
          <w:p>
            <w:r>
              <w:rPr>
                <w:b w:val="false"/>
                <w:bCs w:val="false"/>
                <w:color w:val="000000"/>
              </w:rPr>
              <w:t xml:space="preserve">Patron creacional que separa la construccion de un objeto complejo de su representacion, permitiendo construirlo paso a paso y garantizando que el resultado final sea consistente e inmutable.</w:t>
            </w:r>
          </w:p>
        </w:tc>
      </w:tr>
      <w:tr>
        <w:tc>
          <w:tcPr>
            <w:tcW w:type="dxa" w:w="2500"/>
            <w:shd w:fill="F5F4F0" w:val="clear"/>
            <w:tcMar>
              <w:top w:type="dxa" w:w="100"/>
              <w:left w:type="dxa" w:w="120"/>
              <w:bottom w:type="dxa" w:w="100"/>
              <w:right w:type="dxa" w:w="120"/>
            </w:tcMar>
            <w:vAlign w:val="center"/>
          </w:tcPr>
          <w:p>
            <w:r>
              <w:rPr>
                <w:b/>
                <w:bCs/>
                <w:color w:val="000000"/>
              </w:rPr>
              <w:t xml:space="preserve">Alternativas consideradas</w:t>
            </w:r>
          </w:p>
        </w:tc>
        <w:tc>
          <w:tcPr>
            <w:tcW w:type="dxa" w:w="6850"/>
            <w:tcMar>
              <w:top w:type="dxa" w:w="100"/>
              <w:left w:type="dxa" w:w="120"/>
              <w:bottom w:type="dxa" w:w="100"/>
              <w:right w:type="dxa" w:w="120"/>
            </w:tcMar>
            <w:vAlign w:val="center"/>
          </w:tcPr>
          <w:p>
            <w:r>
              <w:rPr>
                <w:b w:val="false"/>
                <w:bCs w:val="false"/>
                <w:color w:val="000000"/>
              </w:rPr>
              <w:t xml:space="preserve">Se considero un constructor telescopico (varios constructores sobrecargados) — descartado por ser dificil de leer y mantener al crecer los campos opcionales. Tambien se considero un objeto mutable con setters publicos — descartado porque permitiria estados intermedios inconsistentes (p. ej. una utilidad neta calculada antes de cargar los gastos).</w:t>
            </w:r>
          </w:p>
        </w:tc>
      </w:tr>
      <w:tr>
        <w:tc>
          <w:tcPr>
            <w:tcW w:type="dxa" w:w="2500"/>
            <w:shd w:fill="F5F4F0" w:val="clear"/>
            <w:tcMar>
              <w:top w:type="dxa" w:w="100"/>
              <w:left w:type="dxa" w:w="120"/>
              <w:bottom w:type="dxa" w:w="100"/>
              <w:right w:type="dxa" w:w="120"/>
            </w:tcMar>
            <w:vAlign w:val="center"/>
          </w:tcPr>
          <w:p>
            <w:r>
              <w:rPr>
                <w:b/>
                <w:bCs/>
                <w:color w:val="000000"/>
              </w:rPr>
              <w:t xml:space="preserve">Aplicacion concreta en el diseno</w:t>
            </w:r>
          </w:p>
        </w:tc>
        <w:tc>
          <w:tcPr>
            <w:tcW w:type="dxa" w:w="6850"/>
            <w:tcMar>
              <w:top w:type="dxa" w:w="100"/>
              <w:left w:type="dxa" w:w="120"/>
              <w:bottom w:type="dxa" w:w="100"/>
              <w:right w:type="dxa" w:w="120"/>
            </w:tcMar>
            <w:vAlign w:val="center"/>
          </w:tcPr>
          <w:p>
            <w:r>
              <w:rPr>
                <w:b w:val="false"/>
                <w:bCs w:val="false"/>
                <w:color w:val="000000"/>
              </w:rPr>
              <w:t xml:space="preserve">ReporteFinanciero.Builder recibe el periodo (desde/hasta) y expone metodos encadenables (conIngresosBrutos, conComisionesPagadas, conGastosOperativos, conDesglosePorBarbero). build() calcula la utilidad neta (RN-03: ingresos - comisiones - gastos) y retorna un ReporteFinanciero inmutable.</w:t>
            </w:r>
          </w:p>
        </w:tc>
      </w:tr>
      <w:tr>
        <w:tc>
          <w:tcPr>
            <w:tcW w:type="dxa" w:w="2500"/>
            <w:shd w:fill="F5F4F0" w:val="clear"/>
            <w:tcMar>
              <w:top w:type="dxa" w:w="100"/>
              <w:left w:type="dxa" w:w="120"/>
              <w:bottom w:type="dxa" w:w="100"/>
              <w:right w:type="dxa" w:w="120"/>
            </w:tcMar>
            <w:vAlign w:val="center"/>
          </w:tcPr>
          <w:p>
            <w:r>
              <w:rPr>
                <w:b/>
                <w:bCs/>
                <w:color w:val="000000"/>
              </w:rPr>
              <w:t xml:space="preserve">Justificacion de la seleccion</w:t>
            </w:r>
          </w:p>
        </w:tc>
        <w:tc>
          <w:tcPr>
            <w:tcW w:type="dxa" w:w="6850"/>
            <w:tcMar>
              <w:top w:type="dxa" w:w="100"/>
              <w:left w:type="dxa" w:w="120"/>
              <w:bottom w:type="dxa" w:w="100"/>
              <w:right w:type="dxa" w:w="120"/>
            </w:tcMar>
            <w:vAlign w:val="center"/>
          </w:tcPr>
          <w:p>
            <w:r>
              <w:rPr>
                <w:b w:val="false"/>
                <w:bCs w:val="false"/>
                <w:color w:val="000000"/>
              </w:rPr>
              <w:t xml:space="preserve">Garantiza que RN-03 se aplique siempre de la misma forma al construir el reporte; hace explicito y legible el ensamblado del reporte en ReporteFinancieroService; evita exponer setters que permitirian un reporte en un estado incompleto o inconsistente.</w:t>
            </w:r>
          </w:p>
        </w:tc>
      </w:tr>
      <w:tr>
        <w:tc>
          <w:tcPr>
            <w:tcW w:type="dxa" w:w="2500"/>
            <w:shd w:fill="F5F4F0" w:val="clear"/>
            <w:tcMar>
              <w:top w:type="dxa" w:w="100"/>
              <w:left w:type="dxa" w:w="120"/>
              <w:bottom w:type="dxa" w:w="100"/>
              <w:right w:type="dxa" w:w="120"/>
            </w:tcMar>
            <w:vAlign w:val="center"/>
          </w:tcPr>
          <w:p>
            <w:r>
              <w:rPr>
                <w:b/>
                <w:bCs/>
                <w:color w:val="000000"/>
              </w:rPr>
              <w:t xml:space="preserve">Validacion de no solapamiento</w:t>
            </w:r>
          </w:p>
        </w:tc>
        <w:tc>
          <w:tcPr>
            <w:tcW w:type="dxa" w:w="6850"/>
            <w:tcMar>
              <w:top w:type="dxa" w:w="100"/>
              <w:left w:type="dxa" w:w="120"/>
              <w:bottom w:type="dxa" w:w="100"/>
              <w:right w:type="dxa" w:w="120"/>
            </w:tcMar>
            <w:vAlign w:val="center"/>
          </w:tcPr>
          <w:p>
            <w:r>
              <w:rPr>
                <w:b w:val="false"/>
                <w:bCs w:val="false"/>
                <w:color w:val="000000"/>
              </w:rPr>
              <w:t xml:space="preserve">No se solapa con Strategy (que calcula cada comision individual, no el reporte agregado) ni con Observer (que no participa en la generacion de reportes).</w:t>
            </w:r>
          </w:p>
        </w:tc>
      </w:tr>
    </w:tbl>
    <w:p>
      <w:pPr>
        <w:spacing w:after="200"/>
      </w:pPr>
    </w:p>
    <w:p>
      <w:pPr>
        <w:pStyle w:val="Heading1"/>
        <w:spacing w:after="150" w:before="300"/>
      </w:pPr>
      <w:r>
        <w:t xml:space="preserve">Patron: OBSERVER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shd w:fill="F5F4F0" w:val="clear"/>
            <w:tcMar>
              <w:top w:type="dxa" w:w="100"/>
              <w:left w:type="dxa" w:w="120"/>
              <w:bottom w:type="dxa" w:w="100"/>
              <w:right w:type="dxa" w:w="120"/>
            </w:tcMar>
            <w:vAlign w:val="center"/>
          </w:tcPr>
          <w:p>
            <w:r>
              <w:rPr>
                <w:b/>
                <w:bCs/>
                <w:color w:val="000000"/>
              </w:rPr>
              <w:t xml:space="preserve">Necesidad concreta del MVP</w:t>
            </w:r>
          </w:p>
        </w:tc>
        <w:tc>
          <w:tcPr>
            <w:tcW w:type="dxa" w:w="6850"/>
            <w:tcMar>
              <w:top w:type="dxa" w:w="100"/>
              <w:left w:type="dxa" w:w="120"/>
              <w:bottom w:type="dxa" w:w="100"/>
              <w:right w:type="dxa" w:w="120"/>
            </w:tcMar>
            <w:vAlign w:val="center"/>
          </w:tcPr>
          <w:p>
            <w:r>
              <w:rPr>
                <w:b w:val="false"/>
                <w:bCs w:val="false"/>
                <w:color w:val="000000"/>
              </w:rPr>
              <w:t xml:space="preserve">Cuando una Cita cambia de estado (confirmada, atendida, cancelada), varios modulos necesitan enterarse: la confirmacion al cliente (HU-08) y la actualizacion del calendario del barbero (HU-05/HU-06). Acoplar esa logica directamente dentro de Cita mezclaria responsabilidades que no le corresponden a la entidad de dominio.</w:t>
            </w:r>
          </w:p>
        </w:tc>
      </w:tr>
      <w:tr>
        <w:tc>
          <w:tcPr>
            <w:tcW w:type="dxa" w:w="2500"/>
            <w:shd w:fill="F5F4F0" w:val="clear"/>
            <w:tcMar>
              <w:top w:type="dxa" w:w="100"/>
              <w:left w:type="dxa" w:w="120"/>
              <w:bottom w:type="dxa" w:w="100"/>
              <w:right w:type="dxa" w:w="120"/>
            </w:tcMar>
            <w:vAlign w:val="center"/>
          </w:tcPr>
          <w:p>
            <w:r>
              <w:rPr>
                <w:b/>
                <w:bCs/>
                <w:color w:val="000000"/>
              </w:rPr>
              <w:t xml:space="preserve">Descripcion del patron</w:t>
            </w:r>
          </w:p>
        </w:tc>
        <w:tc>
          <w:tcPr>
            <w:tcW w:type="dxa" w:w="6850"/>
            <w:tcMar>
              <w:top w:type="dxa" w:w="100"/>
              <w:left w:type="dxa" w:w="120"/>
              <w:bottom w:type="dxa" w:w="100"/>
              <w:right w:type="dxa" w:w="120"/>
            </w:tcMar>
            <w:vAlign w:val="center"/>
          </w:tcPr>
          <w:p>
            <w:r>
              <w:rPr>
                <w:b w:val="false"/>
                <w:bCs w:val="false"/>
                <w:color w:val="000000"/>
              </w:rPr>
              <w:t xml:space="preserve">Patron de comportamiento en el que un objeto (el 'sujeto', Cita) mantiene una lista de observadores y los notifica automaticamente cuando su estado cambia, sin conocer los detalles de cada uno.</w:t>
            </w:r>
          </w:p>
        </w:tc>
      </w:tr>
      <w:tr>
        <w:tc>
          <w:tcPr>
            <w:tcW w:type="dxa" w:w="2500"/>
            <w:shd w:fill="F5F4F0" w:val="clear"/>
            <w:tcMar>
              <w:top w:type="dxa" w:w="100"/>
              <w:left w:type="dxa" w:w="120"/>
              <w:bottom w:type="dxa" w:w="100"/>
              <w:right w:type="dxa" w:w="120"/>
            </w:tcMar>
            <w:vAlign w:val="center"/>
          </w:tcPr>
          <w:p>
            <w:r>
              <w:rPr>
                <w:b/>
                <w:bCs/>
                <w:color w:val="000000"/>
              </w:rPr>
              <w:t xml:space="preserve">Alternativas consideradas</w:t>
            </w:r>
          </w:p>
        </w:tc>
        <w:tc>
          <w:tcPr>
            <w:tcW w:type="dxa" w:w="6850"/>
            <w:tcMar>
              <w:top w:type="dxa" w:w="100"/>
              <w:left w:type="dxa" w:w="120"/>
              <w:bottom w:type="dxa" w:w="100"/>
              <w:right w:type="dxa" w:w="120"/>
            </w:tcMar>
            <w:vAlign w:val="center"/>
          </w:tcPr>
          <w:p>
            <w:r>
              <w:rPr>
                <w:b w:val="false"/>
                <w:bCs w:val="false"/>
                <w:color w:val="000000"/>
              </w:rPr>
              <w:t xml:space="preserve">Se considero llamar directamente desde CitaService a un NotificacionService y a un AgendaService cada vez que cambia el estado — descartado porque acopla el servicio a una lista fija de acciones y obliga a modificarlo cada vez que se agregue un nuevo interesado en el cambio de estado (p. ej., en Release 2: un envio real de SMS). Observer permite agregar o quitar observadores sin tocar CitaService ni Cita.</w:t>
            </w:r>
          </w:p>
        </w:tc>
      </w:tr>
      <w:tr>
        <w:tc>
          <w:tcPr>
            <w:tcW w:type="dxa" w:w="2500"/>
            <w:shd w:fill="F5F4F0" w:val="clear"/>
            <w:tcMar>
              <w:top w:type="dxa" w:w="100"/>
              <w:left w:type="dxa" w:w="120"/>
              <w:bottom w:type="dxa" w:w="100"/>
              <w:right w:type="dxa" w:w="120"/>
            </w:tcMar>
            <w:vAlign w:val="center"/>
          </w:tcPr>
          <w:p>
            <w:r>
              <w:rPr>
                <w:b/>
                <w:bCs/>
                <w:color w:val="000000"/>
              </w:rPr>
              <w:t xml:space="preserve">Aplicacion concreta en el diseno</w:t>
            </w:r>
          </w:p>
        </w:tc>
        <w:tc>
          <w:tcPr>
            <w:tcW w:type="dxa" w:w="6850"/>
            <w:tcMar>
              <w:top w:type="dxa" w:w="100"/>
              <w:left w:type="dxa" w:w="120"/>
              <w:bottom w:type="dxa" w:w="100"/>
              <w:right w:type="dxa" w:w="120"/>
            </w:tcMar>
            <w:vAlign w:val="center"/>
          </w:tcPr>
          <w:p>
            <w:r>
              <w:rPr>
                <w:b w:val="false"/>
                <w:bCs w:val="false"/>
                <w:color w:val="000000"/>
              </w:rPr>
              <w:t xml:space="preserve">Cita implementa CitaSubject (agregarObservador, notificarObservadores). NotificacionObservador y AgendaBarberoObservador implementan ObservadorCita. CitaService suscribe ambos observadores antes de confirmar la cita; Cita.confirmar()/marcarAtendida()/cancelar() notifican automaticamente.</w:t>
            </w:r>
          </w:p>
        </w:tc>
      </w:tr>
      <w:tr>
        <w:tc>
          <w:tcPr>
            <w:tcW w:type="dxa" w:w="2500"/>
            <w:shd w:fill="F5F4F0" w:val="clear"/>
            <w:tcMar>
              <w:top w:type="dxa" w:w="100"/>
              <w:left w:type="dxa" w:w="120"/>
              <w:bottom w:type="dxa" w:w="100"/>
              <w:right w:type="dxa" w:w="120"/>
            </w:tcMar>
            <w:vAlign w:val="center"/>
          </w:tcPr>
          <w:p>
            <w:r>
              <w:rPr>
                <w:b/>
                <w:bCs/>
                <w:color w:val="000000"/>
              </w:rPr>
              <w:t xml:space="preserve">Justificacion de la seleccion</w:t>
            </w:r>
          </w:p>
        </w:tc>
        <w:tc>
          <w:tcPr>
            <w:tcW w:type="dxa" w:w="6850"/>
            <w:tcMar>
              <w:top w:type="dxa" w:w="100"/>
              <w:left w:type="dxa" w:w="120"/>
              <w:bottom w:type="dxa" w:w="100"/>
              <w:right w:type="dxa" w:w="120"/>
            </w:tcMar>
            <w:vAlign w:val="center"/>
          </w:tcPr>
          <w:p>
            <w:r>
              <w:rPr>
                <w:b w:val="false"/>
                <w:bCs w:val="false"/>
                <w:color w:val="000000"/>
              </w:rPr>
              <w:t xml:space="preserve">Desacopla la entidad Cita de los modulos que reaccionan a sus cambios de estado (HU-05, HU-06, HU-08); permite extender el sistema en Release 2 (p. ej. recordatorios reales) agregando un nuevo observador, sin modificar codigo existente (cumple OCP).</w:t>
            </w:r>
          </w:p>
        </w:tc>
      </w:tr>
      <w:tr>
        <w:tc>
          <w:tcPr>
            <w:tcW w:type="dxa" w:w="2500"/>
            <w:shd w:fill="F5F4F0" w:val="clear"/>
            <w:tcMar>
              <w:top w:type="dxa" w:w="100"/>
              <w:left w:type="dxa" w:w="120"/>
              <w:bottom w:type="dxa" w:w="100"/>
              <w:right w:type="dxa" w:w="120"/>
            </w:tcMar>
            <w:vAlign w:val="center"/>
          </w:tcPr>
          <w:p>
            <w:r>
              <w:rPr>
                <w:b/>
                <w:bCs/>
                <w:color w:val="000000"/>
              </w:rPr>
              <w:t xml:space="preserve">Validacion de no solapamiento</w:t>
            </w:r>
          </w:p>
        </w:tc>
        <w:tc>
          <w:tcPr>
            <w:tcW w:type="dxa" w:w="6850"/>
            <w:tcMar>
              <w:top w:type="dxa" w:w="100"/>
              <w:left w:type="dxa" w:w="120"/>
              <w:bottom w:type="dxa" w:w="100"/>
              <w:right w:type="dxa" w:w="120"/>
            </w:tcMar>
            <w:vAlign w:val="center"/>
          </w:tcPr>
          <w:p>
            <w:r>
              <w:rPr>
                <w:b w:val="false"/>
                <w:bCs w:val="false"/>
                <w:color w:val="000000"/>
              </w:rPr>
              <w:t xml:space="preserve">No se solapa con Strategy (calculo de comision) ni con Builder (ensamblado de reportes); actua en un momento distinto del flujo (cambio de estado de una cita, no calculo de valores financieros).</w:t>
            </w:r>
          </w:p>
        </w:tc>
      </w:tr>
    </w:tbl>
    <w:p>
      <w:pPr>
        <w:spacing w:after="200"/>
      </w:pPr>
    </w:p>
    <w:p>
      <w:pPr>
        <w:pStyle w:val="Heading1"/>
        <w:spacing w:after="150" w:before="300"/>
      </w:pPr>
      <w:r>
        <w:t xml:space="preserve">Conclusion de no solapamiento</w:t>
      </w:r>
    </w:p>
    <w:p>
      <w:pPr>
        <w:spacing w:after="120"/>
      </w:pPr>
      <w:r>
        <w:t xml:space="preserve">Los tres patrones atienden necesidades de naturaleza distinta y en puntos distintos del flujo del MVP: Strategy decide 'cuanto' corresponde a cada parte en un Corte; Builder decide 'como se ensambla' un ReporteFinanciero; Observer decide 'quien se entera' cuando cambia el estado de una Cita. No existe responsabilidad compartida entre ellos, por lo que no hay redundancia ni sobreingenieria.</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2026-10-15T21:14:31.150Z</dcterms:created>
  <dcterms:modified xsi:type="dcterms:W3CDTF">2026-10-15T21:14:31.157Z</dcterms:modified>
</cp:coreProperties>
</file>

<file path=docProps/custom.xml><?xml version="1.0" encoding="utf-8"?>
<Properties xmlns="http://schemas.openxmlformats.org/officeDocument/2006/custom-properties" xmlns:vt="http://schemas.openxmlformats.org/officeDocument/2006/docPropsVTypes"/>
</file>