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Plantilla de Analisis de Principios SOLID</w:t>
      </w:r>
    </w:p>
    <w:p>
      <w:pPr>
        <w:spacing w:after="120"/>
      </w:pPr>
      <w:r>
        <w:rPr>
          <w:i/>
          <w:iCs/>
          <w:color w:val="6B6B6B"/>
        </w:rPr>
        <w:t xml:space="preserve">Sistema de Gestion de Barberia — Entregable 2 — Diseno de Sistemas de Informacion</w:t>
      </w:r>
    </w:p>
    <w:p>
      <w:pPr>
        <w:spacing w:after="120"/>
      </w:pPr>
      <w:r>
        <w:rPr>
          <w:color w:val="6B6B6B"/>
        </w:rPr>
        <w:t xml:space="preserve">Integrantes: Oscar Esteban Cruz Rodriguez, Juan Jose Rueda Alvarez</w:t>
      </w:r>
    </w:p>
    <w:p>
      <w:pPr>
        <w:spacing w:after="200"/>
      </w:pPr>
    </w:p>
    <w:p>
      <w:pPr>
        <w:spacing w:after="120"/>
      </w:pPr>
      <w:r>
        <w:t xml:space="preserve">El analisis se realiza sobre los componentes que evolucionaron del Entregable 1 (diagrama de clases y reglas de negocio) al Entregable 2 (codigo Java/Spring Boot), no sobre ejemplos aislados.</w:t>
      </w:r>
    </w:p>
    <w:p>
      <w:pPr>
        <w:pStyle w:val="Heading1"/>
        <w:spacing w:after="150" w:before="300"/>
      </w:pPr>
      <w:r>
        <w:t xml:space="preserve">S — Single Responsibility Principle (Responsabilidad Unica)</w:t>
      </w:r>
    </w:p>
    <w:p>
      <w:pPr>
        <w:spacing w:after="120"/>
      </w:pPr>
      <w:r>
        <w:rPr>
          <w:i/>
          <w:iCs/>
          <w:color w:val="6B6B6B"/>
        </w:rPr>
        <w:t xml:space="preserve">Cada clase debe tener una, y solo una, razon para cambiar.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5F4F0" w:val="clear"/>
            <w:tcMar>
              <w:top w:type="dxa" w:w="100"/>
              <w:left w:type="dxa" w:w="120"/>
              <w:bottom w:type="dxa" w:w="100"/>
              <w:right w:type="dxa" w:w="120"/>
            </w:tcMar>
            <w:vAlign w:val="center"/>
          </w:tcPr>
          <w:p>
            <w:r>
              <w:rPr>
                <w:b/>
                <w:bCs/>
                <w:color w:val="000000"/>
              </w:rPr>
              <w:t xml:space="preserve">Como estaba en E1 (diagrama de clases)</w:t>
            </w:r>
          </w:p>
        </w:tc>
        <w:tc>
          <w:tcPr>
            <w:tcW w:type="dxa" w:w="6850"/>
            <w:tcMar>
              <w:top w:type="dxa" w:w="100"/>
              <w:left w:type="dxa" w:w="120"/>
              <w:bottom w:type="dxa" w:w="100"/>
              <w:right w:type="dxa" w:w="120"/>
            </w:tcMar>
            <w:vAlign w:val="center"/>
          </w:tcPr>
          <w:p>
            <w:r>
              <w:rPr>
                <w:b w:val="false"/>
                <w:bCs w:val="false"/>
                <w:color w:val="000000"/>
              </w:rPr>
              <w:t xml:space="preserve">En E1, el diagrama de clases concentraba en Corte y Comision tanto los datos del corte como la nota textual de la regla de reparto 60/40 o 100/0.</w:t>
            </w:r>
          </w:p>
        </w:tc>
      </w:tr>
      <w:tr>
        <w:tc>
          <w:tcPr>
            <w:tcW w:type="dxa" w:w="2500"/>
            <w:shd w:fill="F5F4F0" w:val="clear"/>
            <w:tcMar>
              <w:top w:type="dxa" w:w="100"/>
              <w:left w:type="dxa" w:w="120"/>
              <w:bottom w:type="dxa" w:w="100"/>
              <w:right w:type="dxa" w:w="120"/>
            </w:tcMar>
            <w:vAlign w:val="center"/>
          </w:tcPr>
          <w:p>
            <w:r>
              <w:rPr>
                <w:b/>
                <w:bCs/>
                <w:color w:val="000000"/>
              </w:rPr>
              <w:t xml:space="preserve">Como se aplica en E2 (codigo)</w:t>
            </w:r>
          </w:p>
        </w:tc>
        <w:tc>
          <w:tcPr>
            <w:tcW w:type="dxa" w:w="6850"/>
            <w:tcMar>
              <w:top w:type="dxa" w:w="100"/>
              <w:left w:type="dxa" w:w="120"/>
              <w:bottom w:type="dxa" w:w="100"/>
              <w:right w:type="dxa" w:w="120"/>
            </w:tcMar>
            <w:vAlign w:val="center"/>
          </w:tcPr>
          <w:p>
            <w:r>
              <w:rPr>
                <w:b w:val="false"/>
                <w:bCs w:val="false"/>
                <w:color w:val="000000"/>
              </w:rPr>
              <w:t xml:space="preserve">En E2 se separaron las responsabilidades: Corte solo representa el hecho de negocio (quien, cuanto, si tuvo cita previa); el calculo de la comision se delego a CalculadoraComisionStrategy; la persistencia se delego a los repositorios JPA; la orquestacion del flujo (validaciones, llamado a notificar) quedo en los *Service.</w:t>
            </w:r>
          </w:p>
        </w:tc>
      </w:tr>
      <w:tr>
        <w:tc>
          <w:tcPr>
            <w:tcW w:type="dxa" w:w="2500"/>
            <w:shd w:fill="F5F4F0" w:val="clear"/>
            <w:tcMar>
              <w:top w:type="dxa" w:w="100"/>
              <w:left w:type="dxa" w:w="120"/>
              <w:bottom w:type="dxa" w:w="100"/>
              <w:right w:type="dxa" w:w="120"/>
            </w:tcMar>
            <w:vAlign w:val="center"/>
          </w:tcPr>
          <w:p>
            <w:r>
              <w:rPr>
                <w:b/>
                <w:bCs/>
                <w:color w:val="000000"/>
              </w:rPr>
              <w:t xml:space="preserve">Evidencia concreta (clase / metodo)</w:t>
            </w:r>
          </w:p>
        </w:tc>
        <w:tc>
          <w:tcPr>
            <w:tcW w:type="dxa" w:w="6850"/>
            <w:tcMar>
              <w:top w:type="dxa" w:w="100"/>
              <w:left w:type="dxa" w:w="120"/>
              <w:bottom w:type="dxa" w:w="100"/>
              <w:right w:type="dxa" w:w="120"/>
            </w:tcMar>
            <w:vAlign w:val="center"/>
          </w:tcPr>
          <w:p>
            <w:r>
              <w:rPr>
                <w:b w:val="false"/>
                <w:bCs w:val="false"/>
                <w:color w:val="000000"/>
              </w:rPr>
              <w:t xml:space="preserve">Corte.generarComision() delega en Barbero.calcularComision(); CorteService orquesta sin calcular; ComisionBarberoEmpleadoStrategy / ComisionDuenoStrategy encapsulan unicamente la regla de reparto.</w:t>
            </w:r>
          </w:p>
        </w:tc>
      </w:tr>
    </w:tbl>
    <w:p>
      <w:pPr>
        <w:spacing w:after="200"/>
      </w:pPr>
    </w:p>
    <w:p>
      <w:pPr>
        <w:pStyle w:val="Heading1"/>
        <w:spacing w:after="150" w:before="300"/>
      </w:pPr>
      <w:r>
        <w:t xml:space="preserve">O — Open/Closed Principle (Abierto/Cerrado)</w:t>
      </w:r>
    </w:p>
    <w:p>
      <w:pPr>
        <w:spacing w:after="120"/>
      </w:pPr>
      <w:r>
        <w:rPr>
          <w:i/>
          <w:iCs/>
          <w:color w:val="6B6B6B"/>
        </w:rPr>
        <w:t xml:space="preserve">Las entidades deben estar abiertas a extension pero cerradas a modificacion.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5F4F0" w:val="clear"/>
            <w:tcMar>
              <w:top w:type="dxa" w:w="100"/>
              <w:left w:type="dxa" w:w="120"/>
              <w:bottom w:type="dxa" w:w="100"/>
              <w:right w:type="dxa" w:w="120"/>
            </w:tcMar>
            <w:vAlign w:val="center"/>
          </w:tcPr>
          <w:p>
            <w:r>
              <w:rPr>
                <w:b/>
                <w:bCs/>
                <w:color w:val="000000"/>
              </w:rPr>
              <w:t xml:space="preserve">Como estaba en E1 (diagrama de clases)</w:t>
            </w:r>
          </w:p>
        </w:tc>
        <w:tc>
          <w:tcPr>
            <w:tcW w:type="dxa" w:w="6850"/>
            <w:tcMar>
              <w:top w:type="dxa" w:w="100"/>
              <w:left w:type="dxa" w:w="120"/>
              <w:bottom w:type="dxa" w:w="100"/>
              <w:right w:type="dxa" w:w="120"/>
            </w:tcMar>
            <w:vAlign w:val="center"/>
          </w:tcPr>
          <w:p>
            <w:r>
              <w:rPr>
                <w:b w:val="false"/>
                <w:bCs w:val="false"/>
                <w:color w:val="000000"/>
              </w:rPr>
              <w:t xml:space="preserve">En E1 la unica forma de representar la excepcion del dueno (100% de comision) era una nota textual sobre el diagrama; de haberse codificado literalmente, habria requerido un if (barbero instanceof Dueno) dentro de Corte.</w:t>
            </w:r>
          </w:p>
        </w:tc>
      </w:tr>
      <w:tr>
        <w:tc>
          <w:tcPr>
            <w:tcW w:type="dxa" w:w="2500"/>
            <w:shd w:fill="F5F4F0" w:val="clear"/>
            <w:tcMar>
              <w:top w:type="dxa" w:w="100"/>
              <w:left w:type="dxa" w:w="120"/>
              <w:bottom w:type="dxa" w:w="100"/>
              <w:right w:type="dxa" w:w="120"/>
            </w:tcMar>
            <w:vAlign w:val="center"/>
          </w:tcPr>
          <w:p>
            <w:r>
              <w:rPr>
                <w:b/>
                <w:bCs/>
                <w:color w:val="000000"/>
              </w:rPr>
              <w:t xml:space="preserve">Como se aplica en E2 (codigo)</w:t>
            </w:r>
          </w:p>
        </w:tc>
        <w:tc>
          <w:tcPr>
            <w:tcW w:type="dxa" w:w="6850"/>
            <w:tcMar>
              <w:top w:type="dxa" w:w="100"/>
              <w:left w:type="dxa" w:w="120"/>
              <w:bottom w:type="dxa" w:w="100"/>
              <w:right w:type="dxa" w:w="120"/>
            </w:tcMar>
            <w:vAlign w:val="center"/>
          </w:tcPr>
          <w:p>
            <w:r>
              <w:rPr>
                <w:b w:val="false"/>
                <w:bCs w:val="false"/>
                <w:color w:val="000000"/>
              </w:rPr>
              <w:t xml:space="preserve">En E2, agregar una nueva politica de comision (p. ej., un futuro barbero 'estrella' con otro porcentaje) solo exige crear una nueva clase que implemente CalculadoraComisionStrategy, sin modificar Corte, Barbero ni los Service existentes. Lo mismo aplica a Observer: un nuevo tipo de notificacion (ej. SMS real en Release 2) se agrega como un nuevo ObservadorCita sin tocar Cita ni CitaService.</w:t>
            </w:r>
          </w:p>
        </w:tc>
      </w:tr>
      <w:tr>
        <w:tc>
          <w:tcPr>
            <w:tcW w:type="dxa" w:w="2500"/>
            <w:shd w:fill="F5F4F0" w:val="clear"/>
            <w:tcMar>
              <w:top w:type="dxa" w:w="100"/>
              <w:left w:type="dxa" w:w="120"/>
              <w:bottom w:type="dxa" w:w="100"/>
              <w:right w:type="dxa" w:w="120"/>
            </w:tcMar>
            <w:vAlign w:val="center"/>
          </w:tcPr>
          <w:p>
            <w:r>
              <w:rPr>
                <w:b/>
                <w:bCs/>
                <w:color w:val="000000"/>
              </w:rPr>
              <w:t xml:space="preserve">Evidencia concreta (clase / metodo)</w:t>
            </w:r>
          </w:p>
        </w:tc>
        <w:tc>
          <w:tcPr>
            <w:tcW w:type="dxa" w:w="6850"/>
            <w:tcMar>
              <w:top w:type="dxa" w:w="100"/>
              <w:left w:type="dxa" w:w="120"/>
              <w:bottom w:type="dxa" w:w="100"/>
              <w:right w:type="dxa" w:w="120"/>
            </w:tcMar>
            <w:vAlign w:val="center"/>
          </w:tcPr>
          <w:p>
            <w:r>
              <w:rPr>
                <w:b w:val="false"/>
                <w:bCs w:val="false"/>
                <w:color w:val="000000"/>
              </w:rPr>
              <w:t xml:space="preserve">CalculadoraComisionStrategy (interfaz) + implementaciones concretas; ObservadorCita (interfaz) + NotificacionObservador / AgendaBarberoObservador.</w:t>
            </w:r>
          </w:p>
        </w:tc>
      </w:tr>
    </w:tbl>
    <w:p>
      <w:pPr>
        <w:spacing w:after="200"/>
      </w:pPr>
    </w:p>
    <w:p>
      <w:pPr>
        <w:pStyle w:val="Heading1"/>
        <w:spacing w:after="150" w:before="300"/>
      </w:pPr>
      <w:r>
        <w:t xml:space="preserve">L — Liskov Substitution Principle (Sustitucion de Liskov)</w:t>
      </w:r>
    </w:p>
    <w:p>
      <w:pPr>
        <w:spacing w:after="120"/>
      </w:pPr>
      <w:r>
        <w:rPr>
          <w:i/>
          <w:iCs/>
          <w:color w:val="6B6B6B"/>
        </w:rPr>
        <w:t xml:space="preserve">Los objetos de una clase derivada deben poder sustituir a los de su clase base sin alterar el correcto funcionamiento del programa.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5F4F0" w:val="clear"/>
            <w:tcMar>
              <w:top w:type="dxa" w:w="100"/>
              <w:left w:type="dxa" w:w="120"/>
              <w:bottom w:type="dxa" w:w="100"/>
              <w:right w:type="dxa" w:w="120"/>
            </w:tcMar>
            <w:vAlign w:val="center"/>
          </w:tcPr>
          <w:p>
            <w:r>
              <w:rPr>
                <w:b/>
                <w:bCs/>
                <w:color w:val="000000"/>
              </w:rPr>
              <w:t xml:space="preserve">Como estaba en E1 (diagrama de clases)</w:t>
            </w:r>
          </w:p>
        </w:tc>
        <w:tc>
          <w:tcPr>
            <w:tcW w:type="dxa" w:w="6850"/>
            <w:tcMar>
              <w:top w:type="dxa" w:w="100"/>
              <w:left w:type="dxa" w:w="120"/>
              <w:bottom w:type="dxa" w:w="100"/>
              <w:right w:type="dxa" w:w="120"/>
            </w:tcMar>
            <w:vAlign w:val="center"/>
          </w:tcPr>
          <w:p>
            <w:r>
              <w:rPr>
                <w:b w:val="false"/>
                <w:bCs w:val="false"/>
                <w:color w:val="000000"/>
              </w:rPr>
              <w:t xml:space="preserve">En E1 se confirmo que 'el dueno es a su vez un barbero' (Dueno extiende Barbero), y que Dueno sobrescribe el comportamiento de calculo de comision sin romper el contrato de Barbero.</w:t>
            </w:r>
          </w:p>
        </w:tc>
      </w:tr>
      <w:tr>
        <w:tc>
          <w:tcPr>
            <w:tcW w:type="dxa" w:w="2500"/>
            <w:shd w:fill="F5F4F0" w:val="clear"/>
            <w:tcMar>
              <w:top w:type="dxa" w:w="100"/>
              <w:left w:type="dxa" w:w="120"/>
              <w:bottom w:type="dxa" w:w="100"/>
              <w:right w:type="dxa" w:w="120"/>
            </w:tcMar>
            <w:vAlign w:val="center"/>
          </w:tcPr>
          <w:p>
            <w:r>
              <w:rPr>
                <w:b/>
                <w:bCs/>
                <w:color w:val="000000"/>
              </w:rPr>
              <w:t xml:space="preserve">Como se aplica en E2 (codigo)</w:t>
            </w:r>
          </w:p>
        </w:tc>
        <w:tc>
          <w:tcPr>
            <w:tcW w:type="dxa" w:w="6850"/>
            <w:tcMar>
              <w:top w:type="dxa" w:w="100"/>
              <w:left w:type="dxa" w:w="120"/>
              <w:bottom w:type="dxa" w:w="100"/>
              <w:right w:type="dxa" w:w="120"/>
            </w:tcMar>
            <w:vAlign w:val="center"/>
          </w:tcPr>
          <w:p>
            <w:r>
              <w:rPr>
                <w:b w:val="false"/>
                <w:bCs w:val="false"/>
                <w:color w:val="000000"/>
              </w:rPr>
              <w:t xml:space="preserve">En E2, Dueno extends Barbero y es usado en cualquier lugar donde el codigo espera un Barbero (p. ej. CitaService.agendarCita, Corte.setBarbero) sin necesitar verificaciones especiales de tipo; unicamente cambia, de forma interna y valida, la estrategia de comision inyectada en el constructor.</w:t>
            </w:r>
          </w:p>
        </w:tc>
      </w:tr>
      <w:tr>
        <w:tc>
          <w:tcPr>
            <w:tcW w:type="dxa" w:w="2500"/>
            <w:shd w:fill="F5F4F0" w:val="clear"/>
            <w:tcMar>
              <w:top w:type="dxa" w:w="100"/>
              <w:left w:type="dxa" w:w="120"/>
              <w:bottom w:type="dxa" w:w="100"/>
              <w:right w:type="dxa" w:w="120"/>
            </w:tcMar>
            <w:vAlign w:val="center"/>
          </w:tcPr>
          <w:p>
            <w:r>
              <w:rPr>
                <w:b/>
                <w:bCs/>
                <w:color w:val="000000"/>
              </w:rPr>
              <w:t xml:space="preserve">Evidencia concreta (clase / metodo)</w:t>
            </w:r>
          </w:p>
        </w:tc>
        <w:tc>
          <w:tcPr>
            <w:tcW w:type="dxa" w:w="6850"/>
            <w:tcMar>
              <w:top w:type="dxa" w:w="100"/>
              <w:left w:type="dxa" w:w="120"/>
              <w:bottom w:type="dxa" w:w="100"/>
              <w:right w:type="dxa" w:w="120"/>
            </w:tcMar>
            <w:vAlign w:val="center"/>
          </w:tcPr>
          <w:p>
            <w:r>
              <w:rPr>
                <w:b w:val="false"/>
                <w:bCs w:val="false"/>
                <w:color w:val="000000"/>
              </w:rPr>
              <w:t xml:space="preserve">Dueno hereda de Barbero sin debilitar precondiciones ni fortalecer postcondiciones de tieneDisponibilidad() ni calcularComision().</w:t>
            </w:r>
          </w:p>
        </w:tc>
      </w:tr>
    </w:tbl>
    <w:p>
      <w:pPr>
        <w:spacing w:after="200"/>
      </w:pPr>
    </w:p>
    <w:p>
      <w:pPr>
        <w:pStyle w:val="Heading1"/>
        <w:spacing w:after="150" w:before="300"/>
      </w:pPr>
      <w:r>
        <w:t xml:space="preserve">I — Interface Segregation Principle (Segregacion de Interfaces)</w:t>
      </w:r>
    </w:p>
    <w:p>
      <w:pPr>
        <w:spacing w:after="120"/>
      </w:pPr>
      <w:r>
        <w:rPr>
          <w:i/>
          <w:iCs/>
          <w:color w:val="6B6B6B"/>
        </w:rPr>
        <w:t xml:space="preserve">Ningun cliente deberia verse forzado a depender de metodos que no usa; es mejor tener varias interfaces especificas que una 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5F4F0" w:val="clear"/>
            <w:tcMar>
              <w:top w:type="dxa" w:w="100"/>
              <w:left w:type="dxa" w:w="120"/>
              <w:bottom w:type="dxa" w:w="100"/>
              <w:right w:type="dxa" w:w="120"/>
            </w:tcMar>
            <w:vAlign w:val="center"/>
          </w:tcPr>
          <w:p>
            <w:r>
              <w:rPr>
                <w:b/>
                <w:bCs/>
                <w:color w:val="000000"/>
              </w:rPr>
              <w:t xml:space="preserve">Como estaba en E1 (diagrama de clases)</w:t>
            </w:r>
          </w:p>
        </w:tc>
        <w:tc>
          <w:tcPr>
            <w:tcW w:type="dxa" w:w="6850"/>
            <w:tcMar>
              <w:top w:type="dxa" w:w="100"/>
              <w:left w:type="dxa" w:w="120"/>
              <w:bottom w:type="dxa" w:w="100"/>
              <w:right w:type="dxa" w:w="120"/>
            </w:tcMar>
            <w:vAlign w:val="center"/>
          </w:tcPr>
          <w:p>
            <w:r>
              <w:rPr>
                <w:b w:val="false"/>
                <w:bCs w:val="false"/>
                <w:color w:val="000000"/>
              </w:rPr>
              <w:t xml:space="preserve">E1 no definia interfaces explicitas (era un diagrama de clases de dominio).</w:t>
            </w:r>
          </w:p>
        </w:tc>
      </w:tr>
      <w:tr>
        <w:tc>
          <w:tcPr>
            <w:tcW w:type="dxa" w:w="2500"/>
            <w:shd w:fill="F5F4F0" w:val="clear"/>
            <w:tcMar>
              <w:top w:type="dxa" w:w="100"/>
              <w:left w:type="dxa" w:w="120"/>
              <w:bottom w:type="dxa" w:w="100"/>
              <w:right w:type="dxa" w:w="120"/>
            </w:tcMar>
            <w:vAlign w:val="center"/>
          </w:tcPr>
          <w:p>
            <w:r>
              <w:rPr>
                <w:b/>
                <w:bCs/>
                <w:color w:val="000000"/>
              </w:rPr>
              <w:t xml:space="preserve">Como se aplica en E2 (codigo)</w:t>
            </w:r>
          </w:p>
        </w:tc>
        <w:tc>
          <w:tcPr>
            <w:tcW w:type="dxa" w:w="6850"/>
            <w:tcMar>
              <w:top w:type="dxa" w:w="100"/>
              <w:left w:type="dxa" w:w="120"/>
              <w:bottom w:type="dxa" w:w="100"/>
              <w:right w:type="dxa" w:w="120"/>
            </w:tcMar>
            <w:vAlign w:val="center"/>
          </w:tcPr>
          <w:p>
            <w:r>
              <w:rPr>
                <w:b w:val="false"/>
                <w:bCs w:val="false"/>
                <w:color w:val="000000"/>
              </w:rPr>
              <w:t xml:space="preserve">En E2 se definieron interfaces pequenas y especificas por responsabilidad: CalculadoraComisionStrategy solo expone calcular(); CitaSubject solo expone agregarObservador()/notificarObservadores(); ObservadorCita solo expone actualizar(). Ningun componente implementa metodos que no necesita.</w:t>
            </w:r>
          </w:p>
        </w:tc>
      </w:tr>
      <w:tr>
        <w:tc>
          <w:tcPr>
            <w:tcW w:type="dxa" w:w="2500"/>
            <w:shd w:fill="F5F4F0" w:val="clear"/>
            <w:tcMar>
              <w:top w:type="dxa" w:w="100"/>
              <w:left w:type="dxa" w:w="120"/>
              <w:bottom w:type="dxa" w:w="100"/>
              <w:right w:type="dxa" w:w="120"/>
            </w:tcMar>
            <w:vAlign w:val="center"/>
          </w:tcPr>
          <w:p>
            <w:r>
              <w:rPr>
                <w:b/>
                <w:bCs/>
                <w:color w:val="000000"/>
              </w:rPr>
              <w:t xml:space="preserve">Evidencia concreta (clase / metodo)</w:t>
            </w:r>
          </w:p>
        </w:tc>
        <w:tc>
          <w:tcPr>
            <w:tcW w:type="dxa" w:w="6850"/>
            <w:tcMar>
              <w:top w:type="dxa" w:w="100"/>
              <w:left w:type="dxa" w:w="120"/>
              <w:bottom w:type="dxa" w:w="100"/>
              <w:right w:type="dxa" w:w="120"/>
            </w:tcMar>
            <w:vAlign w:val="center"/>
          </w:tcPr>
          <w:p>
            <w:r>
              <w:rPr>
                <w:b w:val="false"/>
                <w:bCs w:val="false"/>
                <w:color w:val="000000"/>
              </w:rPr>
              <w:t xml:space="preserve">CalculadoraComisionStrategy, CitaSubject, ObservadorCita (una sola responsabilidad por interfaz, sin metodos opcionales o no usados).</w:t>
            </w:r>
          </w:p>
        </w:tc>
      </w:tr>
    </w:tbl>
    <w:p>
      <w:pPr>
        <w:spacing w:after="200"/>
      </w:pPr>
    </w:p>
    <w:p>
      <w:pPr>
        <w:pStyle w:val="Heading1"/>
        <w:spacing w:after="150" w:before="300"/>
      </w:pPr>
      <w:r>
        <w:t xml:space="preserve">D — Dependency Inversion Principle (Inversion de Dependencias)</w:t>
      </w:r>
    </w:p>
    <w:p>
      <w:pPr>
        <w:spacing w:after="120"/>
      </w:pPr>
      <w:r>
        <w:rPr>
          <w:i/>
          <w:iCs/>
          <w:color w:val="6B6B6B"/>
        </w:rPr>
        <w:t xml:space="preserve">Los modulos de alto nivel no deben depender de modulos de bajo nivel; ambos deben depender de abstracciones.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5F4F0" w:val="clear"/>
            <w:tcMar>
              <w:top w:type="dxa" w:w="100"/>
              <w:left w:type="dxa" w:w="120"/>
              <w:bottom w:type="dxa" w:w="100"/>
              <w:right w:type="dxa" w:w="120"/>
            </w:tcMar>
            <w:vAlign w:val="center"/>
          </w:tcPr>
          <w:p>
            <w:r>
              <w:rPr>
                <w:b/>
                <w:bCs/>
                <w:color w:val="000000"/>
              </w:rPr>
              <w:t xml:space="preserve">Como estaba en E1 (diagrama de clases)</w:t>
            </w:r>
          </w:p>
        </w:tc>
        <w:tc>
          <w:tcPr>
            <w:tcW w:type="dxa" w:w="6850"/>
            <w:tcMar>
              <w:top w:type="dxa" w:w="100"/>
              <w:left w:type="dxa" w:w="120"/>
              <w:bottom w:type="dxa" w:w="100"/>
              <w:right w:type="dxa" w:w="120"/>
            </w:tcMar>
            <w:vAlign w:val="center"/>
          </w:tcPr>
          <w:p>
            <w:r>
              <w:rPr>
                <w:b w:val="false"/>
                <w:bCs w:val="false"/>
                <w:color w:val="000000"/>
              </w:rPr>
              <w:t xml:space="preserve">En E1, la regla de comision estaba acoplada conceptualmente a la clase concreta Corte/Comision (una nota, no una abstraccion).</w:t>
            </w:r>
          </w:p>
        </w:tc>
      </w:tr>
      <w:tr>
        <w:tc>
          <w:tcPr>
            <w:tcW w:type="dxa" w:w="2500"/>
            <w:shd w:fill="F5F4F0" w:val="clear"/>
            <w:tcMar>
              <w:top w:type="dxa" w:w="100"/>
              <w:left w:type="dxa" w:w="120"/>
              <w:bottom w:type="dxa" w:w="100"/>
              <w:right w:type="dxa" w:w="120"/>
            </w:tcMar>
            <w:vAlign w:val="center"/>
          </w:tcPr>
          <w:p>
            <w:r>
              <w:rPr>
                <w:b/>
                <w:bCs/>
                <w:color w:val="000000"/>
              </w:rPr>
              <w:t xml:space="preserve">Como se aplica en E2 (codigo)</w:t>
            </w:r>
          </w:p>
        </w:tc>
        <w:tc>
          <w:tcPr>
            <w:tcW w:type="dxa" w:w="6850"/>
            <w:tcMar>
              <w:top w:type="dxa" w:w="100"/>
              <w:left w:type="dxa" w:w="120"/>
              <w:bottom w:type="dxa" w:w="100"/>
              <w:right w:type="dxa" w:w="120"/>
            </w:tcMar>
            <w:vAlign w:val="center"/>
          </w:tcPr>
          <w:p>
            <w:r>
              <w:rPr>
                <w:b w:val="false"/>
                <w:bCs w:val="false"/>
                <w:color w:val="000000"/>
              </w:rPr>
              <w:t xml:space="preserve">En E2, Barbero y Corte dependen de la abstraccion CalculadoraComisionStrategy, no de sus implementaciones concretas (ComisionBarberoEmpleadoStrategy / ComisionDuenoStrategy); Cita depende de la abstraccion ObservadorCita, no de clases concretas de notificacion. Los Service de Spring reciben sus dependencias (repositorios, observadores) por inyeccion de constructor, nunca instanciadas directamente.</w:t>
            </w:r>
          </w:p>
        </w:tc>
      </w:tr>
      <w:tr>
        <w:tc>
          <w:tcPr>
            <w:tcW w:type="dxa" w:w="2500"/>
            <w:shd w:fill="F5F4F0" w:val="clear"/>
            <w:tcMar>
              <w:top w:type="dxa" w:w="100"/>
              <w:left w:type="dxa" w:w="120"/>
              <w:bottom w:type="dxa" w:w="100"/>
              <w:right w:type="dxa" w:w="120"/>
            </w:tcMar>
            <w:vAlign w:val="center"/>
          </w:tcPr>
          <w:p>
            <w:r>
              <w:rPr>
                <w:b/>
                <w:bCs/>
                <w:color w:val="000000"/>
              </w:rPr>
              <w:t xml:space="preserve">Evidencia concreta (clase / metodo)</w:t>
            </w:r>
          </w:p>
        </w:tc>
        <w:tc>
          <w:tcPr>
            <w:tcW w:type="dxa" w:w="6850"/>
            <w:tcMar>
              <w:top w:type="dxa" w:w="100"/>
              <w:left w:type="dxa" w:w="120"/>
              <w:bottom w:type="dxa" w:w="100"/>
              <w:right w:type="dxa" w:w="120"/>
            </w:tcMar>
            <w:vAlign w:val="center"/>
          </w:tcPr>
          <w:p>
            <w:r>
              <w:rPr>
                <w:b w:val="false"/>
                <w:bCs w:val="false"/>
                <w:color w:val="000000"/>
              </w:rPr>
              <w:t xml:space="preserve">Barbero.calculadoraComision es de tipo CalculadoraComisionStrategy; CitaService recibe NotificacionObservador y AgendaBarberoObservador por constructor (inyeccion de dependencias de Spring).</w:t>
            </w:r>
          </w:p>
        </w:tc>
      </w:tr>
    </w:tbl>
    <w:p>
      <w:pPr>
        <w:spacing w:after="200"/>
      </w:pP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2026-10-15T21:15:02.398Z</dcterms:created>
  <dcterms:modified xsi:type="dcterms:W3CDTF">2026-10-15T21:15:02.398Z</dcterms:modified>
</cp:coreProperties>
</file>

<file path=docProps/custom.xml><?xml version="1.0" encoding="utf-8"?>
<Properties xmlns="http://schemas.openxmlformats.org/officeDocument/2006/custom-properties" xmlns:vt="http://schemas.openxmlformats.org/officeDocument/2006/docPropsVTypes"/>
</file>