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EFEFEF"/>
  <w:body>
    <w:p w:rsidR="00000000" w:rsidDel="00000000" w:rsidP="00000000" w:rsidRDefault="00000000" w:rsidRPr="00000000" w14:paraId="00000001">
      <w:pPr>
        <w:pStyle w:val="Heading1"/>
        <w:pageBreakBefore w:val="0"/>
        <w:rPr>
          <w:rFonts w:ascii="Arial" w:cs="Arial" w:eastAsia="Arial" w:hAnsi="Arial"/>
          <w:color w:val="999999"/>
          <w:sz w:val="24"/>
          <w:szCs w:val="24"/>
          <w:highlight w:val="white"/>
        </w:rPr>
      </w:pPr>
      <w:bookmarkStart w:colFirst="0" w:colLast="0" w:name="_heading=h.11oixnwmr2ec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MACHINE LEARNING CANVAS   </w:t>
      </w:r>
      <w:r w:rsidDel="00000000" w:rsidR="00000000" w:rsidRPr="00000000">
        <w:rPr>
          <w:rFonts w:ascii="Arial" w:cs="Arial" w:eastAsia="Arial" w:hAnsi="Arial"/>
          <w:b w:val="0"/>
          <w:color w:val="b7b7b7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color w:val="b7b7b7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color w:val="b7b7b7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color w:val="b7b7b7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color w:val="b7b7b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color w:val="999999"/>
          <w:sz w:val="24"/>
          <w:szCs w:val="24"/>
          <w:rtl w:val="0"/>
        </w:rPr>
        <w:t xml:space="preserve">Designed for: </w:t>
      </w:r>
      <w:r w:rsidDel="00000000" w:rsidR="00000000" w:rsidRPr="00000000">
        <w:rPr>
          <w:rFonts w:ascii="Arial" w:cs="Arial" w:eastAsia="Arial" w:hAnsi="Arial"/>
          <w:b w:val="0"/>
          <w:color w:val="999999"/>
          <w:sz w:val="24"/>
          <w:szCs w:val="24"/>
          <w:highlight w:val="white"/>
          <w:rtl w:val="0"/>
        </w:rPr>
        <w:t xml:space="preserve">                                          </w:t>
      </w:r>
      <w:r w:rsidDel="00000000" w:rsidR="00000000" w:rsidRPr="00000000">
        <w:rPr>
          <w:rFonts w:ascii="Arial" w:cs="Arial" w:eastAsia="Arial" w:hAnsi="Arial"/>
          <w:b w:val="0"/>
          <w:color w:val="999999"/>
          <w:sz w:val="24"/>
          <w:szCs w:val="24"/>
          <w:rtl w:val="0"/>
        </w:rPr>
        <w:t xml:space="preserve">   Designed by: </w:t>
      </w:r>
      <w:r w:rsidDel="00000000" w:rsidR="00000000" w:rsidRPr="00000000">
        <w:rPr>
          <w:rFonts w:ascii="Arial" w:cs="Arial" w:eastAsia="Arial" w:hAnsi="Arial"/>
          <w:b w:val="0"/>
          <w:color w:val="999999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0"/>
          <w:color w:val="999999"/>
          <w:sz w:val="24"/>
          <w:szCs w:val="24"/>
          <w:highlight w:val="white"/>
          <w:rtl w:val="0"/>
        </w:rPr>
        <w:t xml:space="preserve">     SME                           </w:t>
      </w:r>
      <w:r w:rsidDel="00000000" w:rsidR="00000000" w:rsidRPr="00000000">
        <w:rPr>
          <w:rFonts w:ascii="Arial" w:cs="Arial" w:eastAsia="Arial" w:hAnsi="Arial"/>
          <w:b w:val="0"/>
          <w:color w:val="999999"/>
          <w:sz w:val="24"/>
          <w:szCs w:val="24"/>
          <w:rtl w:val="0"/>
        </w:rPr>
        <w:t xml:space="preserve">     Date: 12/10/2025 </w:t>
      </w:r>
      <w:r w:rsidDel="00000000" w:rsidR="00000000" w:rsidRPr="00000000">
        <w:rPr>
          <w:rFonts w:ascii="Arial" w:cs="Arial" w:eastAsia="Arial" w:hAnsi="Arial"/>
          <w:b w:val="0"/>
          <w:color w:val="999999"/>
          <w:sz w:val="24"/>
          <w:szCs w:val="24"/>
          <w:highlight w:val="white"/>
          <w:rtl w:val="0"/>
        </w:rPr>
        <w:t xml:space="preserve">                              </w:t>
      </w:r>
      <w:r w:rsidDel="00000000" w:rsidR="00000000" w:rsidRPr="00000000">
        <w:rPr>
          <w:rFonts w:ascii="Arial" w:cs="Arial" w:eastAsia="Arial" w:hAnsi="Arial"/>
          <w:b w:val="0"/>
          <w:color w:val="999999"/>
          <w:sz w:val="24"/>
          <w:szCs w:val="24"/>
          <w:rtl w:val="0"/>
        </w:rPr>
        <w:t xml:space="preserve">  Iteration: </w:t>
      </w:r>
      <w:r w:rsidDel="00000000" w:rsidR="00000000" w:rsidRPr="00000000">
        <w:rPr>
          <w:rFonts w:ascii="Arial" w:cs="Arial" w:eastAsia="Arial" w:hAnsi="Arial"/>
          <w:b w:val="0"/>
          <w:color w:val="999999"/>
          <w:sz w:val="24"/>
          <w:szCs w:val="24"/>
          <w:highlight w:val="white"/>
          <w:rtl w:val="0"/>
        </w:rPr>
        <w:t xml:space="preserve">     v1   .</w:t>
      </w:r>
      <w:r w:rsidDel="00000000" w:rsidR="00000000" w:rsidRPr="00000000">
        <w:rPr>
          <w:rtl w:val="0"/>
        </w:rPr>
      </w:r>
    </w:p>
    <w:tbl>
      <w:tblPr>
        <w:tblStyle w:val="Table1"/>
        <w:tblW w:w="144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2880"/>
        <w:gridCol w:w="2880"/>
        <w:gridCol w:w="2880"/>
        <w:gridCol w:w="2880"/>
        <w:tblGridChange w:id="0">
          <w:tblGrid>
            <w:gridCol w:w="2955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rHeight w:val="4140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gpxl5mm5od6s" w:id="1"/>
            <w:bookmarkEnd w:id="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TAREA DE PREDICCIÓN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1390650</wp:posOffset>
                  </wp:positionH>
                  <wp:positionV relativeFrom="paragraph">
                    <wp:posOffset>0</wp:posOffset>
                  </wp:positionV>
                  <wp:extent cx="324000" cy="324000"/>
                  <wp:effectExtent b="0" l="0" r="0" t="0"/>
                  <wp:wrapSquare wrapText="bothSides" distB="0" distT="0" distL="0" distR="0"/>
                  <wp:docPr id="2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spacing w:after="200" w:lineRule="auto"/>
              <w:rPr>
                <w:rFonts w:ascii="Arial" w:cs="Arial" w:eastAsia="Arial" w:hAnsi="Arial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20094"/>
                <w:rtl w:val="0"/>
              </w:rPr>
              <w:t xml:space="preserve">Entrada:</w:t>
            </w:r>
            <w:r w:rsidDel="00000000" w:rsidR="00000000" w:rsidRPr="00000000">
              <w:rPr>
                <w:rFonts w:ascii="Arial" w:cs="Arial" w:eastAsia="Arial" w:hAnsi="Arial"/>
                <w:color w:val="020094"/>
                <w:rtl w:val="0"/>
              </w:rPr>
              <w:t xml:space="preserve"> Variables demográficas, académicas y socioeconómicas.</w:t>
              <w:br w:type="textWrapping"/>
            </w:r>
          </w:p>
          <w:p w:rsidR="00000000" w:rsidDel="00000000" w:rsidP="00000000" w:rsidRDefault="00000000" w:rsidRPr="00000000" w14:paraId="00000004">
            <w:pPr>
              <w:spacing w:after="200" w:lineRule="auto"/>
              <w:rPr>
                <w:rFonts w:ascii="Arial" w:cs="Arial" w:eastAsia="Arial" w:hAnsi="Arial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20094"/>
                <w:rtl w:val="0"/>
              </w:rPr>
              <w:t xml:space="preserve">Salida (Target):</w:t>
            </w:r>
            <w:r w:rsidDel="00000000" w:rsidR="00000000" w:rsidRPr="00000000">
              <w:rPr>
                <w:rFonts w:ascii="Arial" w:cs="Arial" w:eastAsia="Arial" w:hAnsi="Arial"/>
                <w:color w:val="02009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20094"/>
                <w:rtl w:val="0"/>
              </w:rPr>
              <w:t xml:space="preserve">Performance </w:t>
            </w:r>
            <w:r w:rsidDel="00000000" w:rsidR="00000000" w:rsidRPr="00000000">
              <w:rPr>
                <w:rFonts w:ascii="Arial" w:cs="Arial" w:eastAsia="Arial" w:hAnsi="Arial"/>
                <w:color w:val="020094"/>
                <w:rtl w:val="0"/>
              </w:rPr>
              <w:t xml:space="preserve">(Excellent, Good, Average, Poor en Nivel de desempeño esperado).</w:t>
              <w:br w:type="textWrapping"/>
            </w:r>
          </w:p>
          <w:p w:rsidR="00000000" w:rsidDel="00000000" w:rsidP="00000000" w:rsidRDefault="00000000" w:rsidRPr="00000000" w14:paraId="00000005">
            <w:pPr>
              <w:spacing w:after="200" w:lineRule="auto"/>
              <w:rPr>
                <w:rFonts w:ascii="Arial" w:cs="Arial" w:eastAsia="Arial" w:hAnsi="Arial"/>
                <w:i w:val="1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20094"/>
                <w:rtl w:val="0"/>
              </w:rPr>
              <w:t xml:space="preserve">Tipo de tarea:</w:t>
            </w:r>
            <w:r w:rsidDel="00000000" w:rsidR="00000000" w:rsidRPr="00000000">
              <w:rPr>
                <w:rFonts w:ascii="Arial" w:cs="Arial" w:eastAsia="Arial" w:hAnsi="Arial"/>
                <w:color w:val="020094"/>
                <w:rtl w:val="0"/>
              </w:rPr>
              <w:t xml:space="preserve"> Clasificación supervisada.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200" w:lineRule="auto"/>
              <w:rPr>
                <w:rFonts w:ascii="Arial" w:cs="Arial" w:eastAsia="Arial" w:hAnsi="Arial"/>
                <w:b w:val="1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20094"/>
                <w:rtl w:val="0"/>
              </w:rPr>
              <w:t xml:space="preserve">Algoritmos candidatos:</w:t>
              <w:br w:type="textWrapping"/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color w:val="020094"/>
                <w:rtl w:val="0"/>
              </w:rPr>
              <w:t xml:space="preserve">Regresión Logística</w:t>
              <w:br w:type="textWrapping"/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color w:val="020094"/>
                <w:rtl w:val="0"/>
              </w:rPr>
              <w:t xml:space="preserve">SVM</w:t>
              <w:br w:type="textWrapping"/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color w:val="020094"/>
                <w:rtl w:val="0"/>
              </w:rPr>
              <w:t xml:space="preserve">Gradient Boosting (XGBoost, LightGBM)</w:t>
              <w:br w:type="textWrapping"/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color w:val="020094"/>
                <w:rtl w:val="0"/>
              </w:rPr>
              <w:t xml:space="preserve">Regresión Logística Ordinal</w:t>
            </w:r>
          </w:p>
          <w:p w:rsidR="00000000" w:rsidDel="00000000" w:rsidP="00000000" w:rsidRDefault="00000000" w:rsidRPr="00000000" w14:paraId="0000000B">
            <w:pPr>
              <w:spacing w:after="200" w:lineRule="auto"/>
              <w:jc w:val="left"/>
              <w:rPr>
                <w:rFonts w:ascii="Arial" w:cs="Arial" w:eastAsia="Arial" w:hAnsi="Arial"/>
                <w:color w:val="0200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rPr>
                <w:rFonts w:ascii="Arial" w:cs="Arial" w:eastAsia="Arial" w:hAnsi="Arial"/>
                <w:color w:val="999999"/>
                <w:sz w:val="24"/>
                <w:szCs w:val="24"/>
              </w:rPr>
            </w:pPr>
            <w:bookmarkStart w:colFirst="0" w:colLast="0" w:name="_heading=h.7dbekm9im70r" w:id="2"/>
            <w:bookmarkEnd w:id="2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DECISIONES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0</wp:posOffset>
                  </wp:positionV>
                  <wp:extent cx="324000" cy="324000"/>
                  <wp:effectExtent b="0" l="0" r="0" t="0"/>
                  <wp:wrapSquare wrapText="bothSides" distB="0" distT="0" distL="0" distR="0"/>
                  <wp:docPr id="2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D">
            <w:pPr>
              <w:spacing w:after="200" w:lineRule="auto"/>
              <w:jc w:val="left"/>
              <w:rPr>
                <w:rFonts w:ascii="Arial" w:cs="Arial" w:eastAsia="Arial" w:hAnsi="Arial"/>
                <w:b w:val="1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20094"/>
                <w:rtl w:val="0"/>
              </w:rPr>
              <w:t xml:space="preserve">Identificar factores sociales, educativos y personales que afectan en el desempeño de los estudiantes.</w:t>
            </w:r>
          </w:p>
          <w:p w:rsidR="00000000" w:rsidDel="00000000" w:rsidP="00000000" w:rsidRDefault="00000000" w:rsidRPr="00000000" w14:paraId="0000000E">
            <w:pPr>
              <w:spacing w:after="200" w:lineRule="auto"/>
              <w:jc w:val="left"/>
              <w:rPr>
                <w:rFonts w:ascii="Arial" w:cs="Arial" w:eastAsia="Arial" w:hAnsi="Arial"/>
                <w:b w:val="1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20094"/>
                <w:rtl w:val="0"/>
              </w:rPr>
              <w:t xml:space="preserve">Diseñar tutorías específicas de acuerdo a las necesidades de cada estudiante.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20094"/>
                <w:rtl w:val="0"/>
              </w:rPr>
              <w:t xml:space="preserve">La predicción del rendimiento también pueden ser: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276" w:lineRule="auto"/>
              <w:ind w:left="720" w:right="0" w:hanging="360"/>
              <w:jc w:val="left"/>
              <w:rPr>
                <w:rFonts w:ascii="Arial" w:cs="Arial" w:eastAsia="Arial" w:hAnsi="Arial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color w:val="020094"/>
                <w:rtl w:val="0"/>
              </w:rPr>
              <w:t xml:space="preserve">Apoyar políticas de becas o refuerzos educativos.</w:t>
              <w:br w:type="textWrapping"/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left"/>
              <w:rPr>
                <w:rFonts w:ascii="Arial" w:cs="Arial" w:eastAsia="Arial" w:hAnsi="Arial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color w:val="020094"/>
                <w:rtl w:val="0"/>
              </w:rPr>
              <w:t xml:space="preserve">Ayudar a identificar candidatos en riesgo académico.</w:t>
              <w:br w:type="textWrapping"/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276" w:lineRule="auto"/>
              <w:ind w:left="720" w:right="0" w:hanging="360"/>
              <w:jc w:val="left"/>
              <w:rPr>
                <w:rFonts w:ascii="Arial" w:cs="Arial" w:eastAsia="Arial" w:hAnsi="Arial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color w:val="020094"/>
                <w:rtl w:val="0"/>
              </w:rPr>
              <w:t xml:space="preserve">Guiar estrategias de admisión o intervención temprana.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20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2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dvn87smyjkzm" w:id="3"/>
            <w:bookmarkEnd w:id="3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PROPUESTA DE VALOR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1333500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b="0" l="0" r="0" t="0"/>
                  <wp:wrapSquare wrapText="bothSides" distB="0" distT="0" distL="0" distR="0"/>
                  <wp:docPr id="2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Arial" w:cs="Arial" w:eastAsia="Arial" w:hAnsi="Arial"/>
                <w:b w:val="1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20094"/>
                <w:rtl w:val="0"/>
              </w:rPr>
              <w:t xml:space="preserve">La propuesta de valor de este enfoque ofrece la posibilidad de generar información para diferentes actores del sistema educativo. Para las instituciones, el modelo permitirá identificar factores  éxito académico y diseñar programas de apoyo. Para los estudiantes y sus familias, ofrecerá una visión más clara sobre el impacto real de invertir en programas de coaching, ayudando a una mejor toma de decisiones educativas. Finalmente, a nivel social, este análisis contribuirá a visibilizar posibles desigualdades en el acceso a recursos de formación, fomentando el diseño de políticas más justas y equitativas.</w:t>
            </w:r>
          </w:p>
          <w:p w:rsidR="00000000" w:rsidDel="00000000" w:rsidP="00000000" w:rsidRDefault="00000000" w:rsidRPr="00000000" w14:paraId="00000016">
            <w:pPr>
              <w:spacing w:after="200" w:lineRule="auto"/>
              <w:jc w:val="left"/>
              <w:rPr>
                <w:rFonts w:ascii="Arial" w:cs="Arial" w:eastAsia="Arial" w:hAnsi="Arial"/>
                <w:color w:val="0200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rPr>
                <w:rFonts w:ascii="Arial" w:cs="Arial" w:eastAsia="Arial" w:hAnsi="Arial"/>
                <w:color w:val="999999"/>
                <w:sz w:val="24"/>
                <w:szCs w:val="24"/>
              </w:rPr>
            </w:pPr>
            <w:bookmarkStart w:colFirst="0" w:colLast="0" w:name="_heading=h.l92d5zy103m6" w:id="4"/>
            <w:bookmarkEnd w:id="4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RECOPILACIÓN DE DATOS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1352550</wp:posOffset>
                  </wp:positionH>
                  <wp:positionV relativeFrom="paragraph">
                    <wp:posOffset>0</wp:posOffset>
                  </wp:positionV>
                  <wp:extent cx="324000" cy="324000"/>
                  <wp:effectExtent b="0" l="0" r="0" t="0"/>
                  <wp:wrapSquare wrapText="bothSides" distB="0" distT="0" distL="0" distR="0"/>
                  <wp:docPr id="2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8">
            <w:pPr>
              <w:spacing w:after="200" w:lineRule="auto"/>
              <w:rPr>
                <w:rFonts w:ascii="Arial" w:cs="Arial" w:eastAsia="Arial" w:hAnsi="Arial"/>
                <w:b w:val="1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20094"/>
                <w:rtl w:val="0"/>
              </w:rPr>
              <w:t xml:space="preserve">Los datos recolectados a partir de registros académicos y formularios de inscripción.</w:t>
            </w:r>
          </w:p>
          <w:p w:rsidR="00000000" w:rsidDel="00000000" w:rsidP="00000000" w:rsidRDefault="00000000" w:rsidRPr="00000000" w14:paraId="00000019">
            <w:pPr>
              <w:spacing w:after="200" w:lineRule="auto"/>
              <w:rPr>
                <w:rFonts w:ascii="Arial" w:cs="Arial" w:eastAsia="Arial" w:hAnsi="Arial"/>
                <w:b w:val="1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20094"/>
                <w:rtl w:val="0"/>
              </w:rPr>
              <w:t xml:space="preserve">Los datos incluyen variables demográficas (género, casta), educativas (porcentajes de clase X y XII, tipo de institución), y familiares (ocupación de los padres).</w:t>
            </w:r>
          </w:p>
          <w:p w:rsidR="00000000" w:rsidDel="00000000" w:rsidP="00000000" w:rsidRDefault="00000000" w:rsidRPr="00000000" w14:paraId="0000001A">
            <w:pPr>
              <w:spacing w:after="200" w:lineRule="auto"/>
              <w:rPr>
                <w:rFonts w:ascii="Arial" w:cs="Arial" w:eastAsia="Arial" w:hAnsi="Arial"/>
                <w:b w:val="1"/>
                <w:color w:val="0200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qdkxo3a6kbr5" w:id="5"/>
            <w:bookmarkEnd w:id="5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FUENTES DE DATOS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1352550</wp:posOffset>
                  </wp:positionH>
                  <wp:positionV relativeFrom="paragraph">
                    <wp:posOffset>0</wp:posOffset>
                  </wp:positionV>
                  <wp:extent cx="324000" cy="324000"/>
                  <wp:effectExtent b="0" l="0" r="0" t="0"/>
                  <wp:wrapSquare wrapText="bothSides" distB="0" distT="0" distL="0" distR="0"/>
                  <wp:docPr id="2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C">
            <w:pPr>
              <w:spacing w:after="200" w:lineRule="auto"/>
              <w:rPr>
                <w:rFonts w:ascii="Arial" w:cs="Arial" w:eastAsia="Arial" w:hAnsi="Arial"/>
                <w:b w:val="1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20094"/>
                <w:rtl w:val="0"/>
              </w:rPr>
              <w:t xml:space="preserve">Los datos son obtenidos del dataset público “Student Performance on an Entrance Examination”. </w:t>
            </w:r>
          </w:p>
          <w:p w:rsidR="00000000" w:rsidDel="00000000" w:rsidP="00000000" w:rsidRDefault="00000000" w:rsidRPr="00000000" w14:paraId="0000001D">
            <w:pPr>
              <w:spacing w:after="200" w:lineRule="auto"/>
              <w:rPr>
                <w:rFonts w:ascii="Arial" w:cs="Arial" w:eastAsia="Arial" w:hAnsi="Arial"/>
                <w:b w:val="1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20094"/>
                <w:rtl w:val="0"/>
              </w:rPr>
              <w:t xml:space="preserve">Dataset recopilado por el Prof. Jiten Hazarika, que contiene información académica y socioeconómica de los aspirantes a universidades médicas de Assam.</w:t>
            </w:r>
          </w:p>
          <w:p w:rsidR="00000000" w:rsidDel="00000000" w:rsidP="00000000" w:rsidRDefault="00000000" w:rsidRPr="00000000" w14:paraId="0000001E">
            <w:pPr>
              <w:spacing w:after="200" w:lineRule="auto"/>
              <w:rPr>
                <w:rFonts w:ascii="Arial" w:cs="Arial" w:eastAsia="Arial" w:hAnsi="Arial"/>
                <w:b w:val="1"/>
                <w:color w:val="02009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5" w:hRule="atLeast"/>
          <w:tblHeader w:val="0"/>
        </w:trPr>
        <w:tc>
          <w:tcPr>
            <w:tcBorders>
              <w:left w:color="000000" w:space="0" w:sz="24" w:val="single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2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5agwkfitkat8" w:id="6"/>
            <w:bookmarkEnd w:id="6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SIMULACIÓN DE IMPACTO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1390650</wp:posOffset>
                  </wp:positionH>
                  <wp:positionV relativeFrom="paragraph">
                    <wp:posOffset>0</wp:posOffset>
                  </wp:positionV>
                  <wp:extent cx="324000" cy="324000"/>
                  <wp:effectExtent b="0" l="0" r="0" t="0"/>
                  <wp:wrapSquare wrapText="bothSides" distB="0" distT="0" distL="0" distR="0"/>
                  <wp:docPr id="2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0">
            <w:pPr>
              <w:spacing w:after="200" w:lineRule="auto"/>
              <w:rPr>
                <w:rFonts w:ascii="Arial" w:cs="Arial" w:eastAsia="Arial" w:hAnsi="Arial"/>
                <w:b w:val="1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20094"/>
                <w:rtl w:val="0"/>
              </w:rPr>
              <w:t xml:space="preserve">Mayor precisión de predicción y de transparencia</w:t>
            </w:r>
          </w:p>
          <w:p w:rsidR="00000000" w:rsidDel="00000000" w:rsidP="00000000" w:rsidRDefault="00000000" w:rsidRPr="00000000" w14:paraId="00000021">
            <w:pPr>
              <w:spacing w:after="200" w:lineRule="auto"/>
              <w:rPr>
                <w:rFonts w:ascii="Arial" w:cs="Arial" w:eastAsia="Arial" w:hAnsi="Arial"/>
                <w:b w:val="1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20094"/>
                <w:rtl w:val="0"/>
              </w:rPr>
              <w:t xml:space="preserve">Métricas de evaluación: Accuracy, Precision, Recall, F1-Score, Confusion Matrix</w:t>
            </w:r>
          </w:p>
          <w:p w:rsidR="00000000" w:rsidDel="00000000" w:rsidP="00000000" w:rsidRDefault="00000000" w:rsidRPr="00000000" w14:paraId="00000022">
            <w:pPr>
              <w:spacing w:after="200" w:lineRule="auto"/>
              <w:jc w:val="left"/>
              <w:rPr>
                <w:rFonts w:ascii="Arial" w:cs="Arial" w:eastAsia="Arial" w:hAnsi="Arial"/>
                <w:color w:val="0200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2"/>
              <w:rPr>
                <w:rFonts w:ascii="Arial" w:cs="Arial" w:eastAsia="Arial" w:hAnsi="Arial"/>
                <w:color w:val="999999"/>
                <w:sz w:val="24"/>
                <w:szCs w:val="24"/>
              </w:rPr>
            </w:pPr>
            <w:bookmarkStart w:colFirst="0" w:colLast="0" w:name="_heading=h.izcqi8nladi4" w:id="7"/>
            <w:bookmarkEnd w:id="7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HACIENDO PREDICCIONES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0</wp:posOffset>
                  </wp:positionV>
                  <wp:extent cx="324000" cy="324000"/>
                  <wp:effectExtent b="0" l="0" r="0" t="0"/>
                  <wp:wrapSquare wrapText="bothSides" distB="0" distT="0" distL="0" distR="0"/>
                  <wp:docPr id="2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4">
            <w:pPr>
              <w:spacing w:after="200" w:lineRule="auto"/>
              <w:jc w:val="left"/>
              <w:rPr>
                <w:rFonts w:ascii="Arial" w:cs="Arial" w:eastAsia="Arial" w:hAnsi="Arial"/>
                <w:b w:val="1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20094"/>
                <w:rtl w:val="0"/>
              </w:rPr>
              <w:t xml:space="preserve">Las predicciones se hacen en bloque al finalizar las aplicaciones del examen de admisión.</w:t>
            </w:r>
          </w:p>
          <w:p w:rsidR="00000000" w:rsidDel="00000000" w:rsidP="00000000" w:rsidRDefault="00000000" w:rsidRPr="00000000" w14:paraId="00000025">
            <w:pPr>
              <w:spacing w:after="200" w:lineRule="auto"/>
              <w:jc w:val="left"/>
              <w:rPr>
                <w:rFonts w:ascii="Arial" w:cs="Arial" w:eastAsia="Arial" w:hAnsi="Arial"/>
                <w:b w:val="1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20094"/>
                <w:rtl w:val="0"/>
              </w:rPr>
              <w:t xml:space="preserve">Se pueden hacer predicciones en tiempo real para calcular la probabilidad de aprobación de los estudiantes.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00" w:lineRule="auto"/>
              <w:jc w:val="left"/>
              <w:rPr>
                <w:rFonts w:ascii="Arial" w:cs="Arial" w:eastAsia="Arial" w:hAnsi="Arial"/>
                <w:b w:val="1"/>
                <w:color w:val="0200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2"/>
              <w:rPr>
                <w:rFonts w:ascii="Arial" w:cs="Arial" w:eastAsia="Arial" w:hAnsi="Arial"/>
                <w:color w:val="999999"/>
                <w:sz w:val="24"/>
                <w:szCs w:val="24"/>
              </w:rPr>
            </w:pPr>
            <w:bookmarkStart w:colFirst="0" w:colLast="0" w:name="_heading=h.t5zlk6ue0jmf" w:id="8"/>
            <w:bookmarkEnd w:id="8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CONSTRUYENDO MODELOS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1352550</wp:posOffset>
                  </wp:positionH>
                  <wp:positionV relativeFrom="paragraph">
                    <wp:posOffset>0</wp:posOffset>
                  </wp:positionV>
                  <wp:extent cx="324000" cy="324000"/>
                  <wp:effectExtent b="0" l="0" r="0" t="0"/>
                  <wp:wrapSquare wrapText="bothSides" distB="0" distT="0" distL="0" distR="0"/>
                  <wp:docPr id="1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8">
            <w:pPr>
              <w:spacing w:after="200" w:lineRule="auto"/>
              <w:jc w:val="left"/>
              <w:rPr>
                <w:rFonts w:ascii="Arial" w:cs="Arial" w:eastAsia="Arial" w:hAnsi="Arial"/>
                <w:b w:val="1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20094"/>
                <w:rtl w:val="0"/>
              </w:rPr>
              <w:t xml:space="preserve">Construir un solo modelo de clasificación supervisada que prediga el nivel de rendimiento (Performance) de los estudiantes en categorías como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20094"/>
                <w:rtl w:val="0"/>
              </w:rPr>
              <w:t xml:space="preserve">Excellent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20094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20094"/>
                <w:rtl w:val="0"/>
              </w:rPr>
              <w:t xml:space="preserve">Good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20094"/>
                <w:rtl w:val="0"/>
              </w:rPr>
              <w:t xml:space="preserve">, Poor, Average.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276" w:lineRule="auto"/>
              <w:ind w:left="720" w:right="0" w:hanging="360"/>
              <w:jc w:val="left"/>
              <w:rPr>
                <w:rFonts w:ascii="Arial" w:cs="Arial" w:eastAsia="Arial" w:hAnsi="Arial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color w:val="020094"/>
                <w:rtl w:val="0"/>
              </w:rPr>
              <w:t xml:space="preserve">Entrenamiento inicial con el dataset histórico.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left"/>
              <w:rPr>
                <w:rFonts w:ascii="Arial" w:cs="Arial" w:eastAsia="Arial" w:hAnsi="Arial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color w:val="020094"/>
                <w:rtl w:val="0"/>
              </w:rPr>
              <w:t xml:space="preserve">Actualización anual con nuevos datos de ingreso.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left"/>
              <w:rPr>
                <w:rFonts w:ascii="Arial" w:cs="Arial" w:eastAsia="Arial" w:hAnsi="Arial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color w:val="020094"/>
                <w:rtl w:val="0"/>
              </w:rPr>
              <w:t xml:space="preserve">Frecuencia: una vez por ciclo académico (anual).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276" w:lineRule="auto"/>
              <w:ind w:left="720" w:right="0" w:hanging="360"/>
              <w:jc w:val="left"/>
              <w:rPr>
                <w:rFonts w:ascii="Arial" w:cs="Arial" w:eastAsia="Arial" w:hAnsi="Arial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color w:val="020094"/>
                <w:rtl w:val="0"/>
              </w:rPr>
              <w:t xml:space="preserve">Tiempo estimado para el modelado: 1-2 semanas para limpieza, entrenamiento y validación.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2"/>
              <w:rPr>
                <w:rFonts w:ascii="Arial" w:cs="Arial" w:eastAsia="Arial" w:hAnsi="Arial"/>
                <w:color w:val="020094"/>
                <w:sz w:val="24"/>
                <w:szCs w:val="24"/>
              </w:rPr>
            </w:pPr>
            <w:bookmarkStart w:colFirst="0" w:colLast="0" w:name="_heading=h.2t3x2vh69bya" w:id="9"/>
            <w:bookmarkEnd w:id="9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1352550</wp:posOffset>
                  </wp:positionH>
                  <wp:positionV relativeFrom="paragraph">
                    <wp:posOffset>0</wp:posOffset>
                  </wp:positionV>
                  <wp:extent cx="324000" cy="324000"/>
                  <wp:effectExtent b="0" l="0" r="0" t="0"/>
                  <wp:wrapSquare wrapText="bothSides" distB="0" distT="0" distL="0" distR="0"/>
                  <wp:docPr id="1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Arial" w:cs="Arial" w:eastAsia="Arial" w:hAnsi="Arial"/>
                <w:b w:val="1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20094"/>
                <w:rtl w:val="0"/>
              </w:rPr>
              <w:t xml:space="preserve">Entradas que alimentan el modelo: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276" w:lineRule="auto"/>
              <w:ind w:left="720" w:right="0" w:hanging="360"/>
              <w:jc w:val="left"/>
              <w:rPr>
                <w:rFonts w:ascii="Arial" w:cs="Arial" w:eastAsia="Arial" w:hAnsi="Arial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color w:val="020094"/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left"/>
              <w:rPr>
                <w:rFonts w:ascii="Arial" w:cs="Arial" w:eastAsia="Arial" w:hAnsi="Arial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color w:val="020094"/>
                <w:rtl w:val="0"/>
              </w:rPr>
              <w:t xml:space="preserve">Caste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left"/>
              <w:rPr>
                <w:rFonts w:ascii="Arial" w:cs="Arial" w:eastAsia="Arial" w:hAnsi="Arial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color w:val="020094"/>
                <w:rtl w:val="0"/>
              </w:rPr>
              <w:t xml:space="preserve">Coaching (ninguno, dentro o fuera de Assam)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left"/>
              <w:rPr>
                <w:rFonts w:ascii="Arial" w:cs="Arial" w:eastAsia="Arial" w:hAnsi="Arial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color w:val="020094"/>
                <w:rtl w:val="0"/>
              </w:rPr>
              <w:t xml:space="preserve">Class_ten_education (tipo de institución)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left"/>
              <w:rPr>
                <w:rFonts w:ascii="Arial" w:cs="Arial" w:eastAsia="Arial" w:hAnsi="Arial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color w:val="020094"/>
                <w:rtl w:val="0"/>
              </w:rPr>
              <w:t xml:space="preserve">Twelve_education (tipo de institución)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left"/>
              <w:rPr>
                <w:rFonts w:ascii="Arial" w:cs="Arial" w:eastAsia="Arial" w:hAnsi="Arial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color w:val="020094"/>
                <w:rtl w:val="0"/>
              </w:rPr>
              <w:t xml:space="preserve">Medium (idioma de instrucción)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left"/>
              <w:rPr>
                <w:rFonts w:ascii="Arial" w:cs="Arial" w:eastAsia="Arial" w:hAnsi="Arial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color w:val="020094"/>
                <w:rtl w:val="0"/>
              </w:rPr>
              <w:t xml:space="preserve">Class_X_Percentage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left"/>
              <w:rPr>
                <w:rFonts w:ascii="Arial" w:cs="Arial" w:eastAsia="Arial" w:hAnsi="Arial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color w:val="020094"/>
                <w:rtl w:val="0"/>
              </w:rPr>
              <w:t xml:space="preserve">Class_XII_Percentage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left"/>
              <w:rPr>
                <w:rFonts w:ascii="Arial" w:cs="Arial" w:eastAsia="Arial" w:hAnsi="Arial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color w:val="020094"/>
                <w:rtl w:val="0"/>
              </w:rPr>
              <w:t xml:space="preserve">Father_occupation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276" w:lineRule="auto"/>
              <w:ind w:left="720" w:right="0" w:hanging="360"/>
              <w:jc w:val="left"/>
              <w:rPr>
                <w:rFonts w:ascii="Arial" w:cs="Arial" w:eastAsia="Arial" w:hAnsi="Arial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color w:val="020094"/>
                <w:rtl w:val="0"/>
              </w:rPr>
              <w:t xml:space="preserve">Mother_occupation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00" w:lineRule="auto"/>
              <w:ind w:left="0" w:firstLine="0"/>
              <w:jc w:val="left"/>
              <w:rPr>
                <w:rFonts w:ascii="Arial" w:cs="Arial" w:eastAsia="Arial" w:hAnsi="Arial"/>
                <w:b w:val="1"/>
                <w:color w:val="02009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24" w:val="single"/>
              <w:bottom w:color="000000" w:space="0" w:sz="24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2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2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nnxcye1k4030" w:id="10"/>
            <w:bookmarkEnd w:id="1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MONITOREO</w:t>
            </w:r>
          </w:p>
          <w:p w:rsidR="00000000" w:rsidDel="00000000" w:rsidP="00000000" w:rsidRDefault="00000000" w:rsidRPr="00000000" w14:paraId="0000003C">
            <w:pPr>
              <w:spacing w:after="200" w:lineRule="auto"/>
              <w:rPr>
                <w:rFonts w:ascii="Arial" w:cs="Arial" w:eastAsia="Arial" w:hAnsi="Arial"/>
                <w:b w:val="1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20094"/>
                <w:rtl w:val="0"/>
              </w:rPr>
              <w:t xml:space="preserve">Seguimiento de métricas técnicas (Accuracy, Precision, Recall, F1-Score, Confusion Matrix)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2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00" w:lineRule="auto"/>
              <w:jc w:val="left"/>
              <w:rPr>
                <w:rFonts w:ascii="Arial" w:cs="Arial" w:eastAsia="Arial" w:hAnsi="Arial"/>
                <w:color w:val="02009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200" w:lineRule="auto"/>
              <w:jc w:val="left"/>
              <w:rPr>
                <w:rFonts w:ascii="Arial" w:cs="Arial" w:eastAsia="Arial" w:hAnsi="Arial"/>
                <w:b w:val="1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20094"/>
                <w:rtl w:val="0"/>
              </w:rPr>
              <w:t xml:space="preserve">Monitoreo de las diferencias de desempeño entre grupos(género, casta, desempeño previo, etc.)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24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00" w:lineRule="auto"/>
              <w:jc w:val="left"/>
              <w:rPr>
                <w:rFonts w:ascii="Arial" w:cs="Arial" w:eastAsia="Arial" w:hAnsi="Arial"/>
                <w:color w:val="02009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1314450</wp:posOffset>
                  </wp:positionH>
                  <wp:positionV relativeFrom="paragraph">
                    <wp:posOffset>0</wp:posOffset>
                  </wp:positionV>
                  <wp:extent cx="324000" cy="324000"/>
                  <wp:effectExtent b="0" l="0" r="0" t="0"/>
                  <wp:wrapSquare wrapText="bothSides" distB="0" distT="0" distL="0" distR="0"/>
                  <wp:docPr id="1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40">
            <w:pPr>
              <w:spacing w:after="200" w:lineRule="auto"/>
              <w:jc w:val="left"/>
              <w:rPr>
                <w:rFonts w:ascii="Arial" w:cs="Arial" w:eastAsia="Arial" w:hAnsi="Arial"/>
                <w:b w:val="1"/>
                <w:color w:val="02009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20094"/>
                <w:rtl w:val="0"/>
              </w:rPr>
              <w:t xml:space="preserve">Detectar si hay cambios en los patrones de los datos.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24" w:val="single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1"/>
        <w:spacing w:line="276" w:lineRule="auto"/>
        <w:rPr>
          <w:b w:val="1"/>
          <w:sz w:val="18"/>
          <w:szCs w:val="18"/>
        </w:rPr>
      </w:pPr>
      <w:bookmarkStart w:colFirst="0" w:colLast="0" w:name="_heading=h.fa8t8edq8fwd" w:id="11"/>
      <w:bookmarkEnd w:id="11"/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i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oppins" w:cs="Poppins" w:eastAsia="Poppins" w:hAnsi="Poppins"/>
        <w:sz w:val="24"/>
        <w:szCs w:val="24"/>
      </w:rPr>
    </w:rPrDefault>
    <w:pPrDefault>
      <w:pPr>
        <w:widowControl w:val="0"/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240" w:before="240" w:lineRule="auto"/>
      <w:jc w:val="left"/>
    </w:pPr>
    <w:rPr>
      <w:rFonts w:ascii="Hind" w:cs="Hind" w:eastAsia="Hind" w:hAnsi="Hind"/>
      <w:b w:val="1"/>
      <w:color w:val="020094"/>
      <w:sz w:val="32"/>
      <w:szCs w:val="32"/>
    </w:rPr>
  </w:style>
  <w:style w:type="paragraph" w:styleId="Heading2">
    <w:name w:val="heading 2"/>
    <w:basedOn w:val="Normal"/>
    <w:next w:val="Normal"/>
    <w:pPr>
      <w:spacing w:after="200" w:lineRule="auto"/>
    </w:pPr>
    <w:rPr>
      <w:b w:val="1"/>
      <w:sz w:val="18"/>
      <w:szCs w:val="18"/>
    </w:rPr>
  </w:style>
  <w:style w:type="paragraph" w:styleId="Heading3">
    <w:name w:val="heading 3"/>
    <w:basedOn w:val="Normal"/>
    <w:next w:val="Normal"/>
    <w:pPr>
      <w:spacing w:after="200" w:lineRule="auto"/>
      <w:jc w:val="left"/>
    </w:pPr>
    <w:rPr>
      <w:rFonts w:ascii="Poppins" w:cs="Poppins" w:eastAsia="Poppins" w:hAnsi="Poppins"/>
      <w:color w:val="999999"/>
      <w:sz w:val="12"/>
      <w:szCs w:val="12"/>
    </w:rPr>
  </w:style>
  <w:style w:type="paragraph" w:styleId="Heading4">
    <w:name w:val="heading 4"/>
    <w:basedOn w:val="Normal"/>
    <w:next w:val="Normal"/>
    <w:pPr>
      <w:pageBreakBefore w:val="0"/>
      <w:ind w:left="226.7716535433071"/>
      <w:jc w:val="left"/>
    </w:pPr>
    <w:rPr>
      <w:rFonts w:ascii="Hind" w:cs="Hind" w:eastAsia="Hind" w:hAnsi="Hind"/>
      <w:color w:val="666666"/>
      <w:sz w:val="16"/>
      <w:szCs w:val="16"/>
    </w:rPr>
  </w:style>
  <w:style w:type="paragraph" w:styleId="Heading5">
    <w:name w:val="heading 5"/>
    <w:basedOn w:val="Normal"/>
    <w:next w:val="Normal"/>
    <w:pPr>
      <w:pageBreakBefore w:val="0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Hind-regular.ttf"/><Relationship Id="rId6" Type="http://schemas.openxmlformats.org/officeDocument/2006/relationships/font" Target="fonts/Hi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i0F+LC+4NlgvxcKyULH5WT1Ghg==">CgMxLjAyDmguMTFvaXhud21yMmVjMg5oLmdweGw1bW01b2Q2czIOaC43ZGJla205aW03MHIyDmguZHZuODdzbXlqa3ptMg5oLmw5MmQ1enkxMDNtNjIOaC5xZGt4bzNhNmticjUyDmguNWFnd2tmaXRrYXQ4Mg5oLml6Y3FpOG5sYWRpNDIOaC50NXpsazZ1ZTBqbWYyDmguMnQzeDJ2aDY5YnlhMg5oLm5ueGN5ZTFrNDAzMDIOaC5mYTh0OGVkcThmd2Q4AHIhMWo2TGp5SHlaRlBxbW0xcU14eE1uSmQ2ek9NSmxWZ3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