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Market RSI repair-and-Discovery plan — for review</w:t>
      </w:r>
    </w:p>
    <w:p>
      <w:pPr/>
      <w:r>
        <w:rPr>
          <w:b/>
        </w:rPr>
        <w:t>Goal: complete real feedback-driven experiments, retain useful losing branches, and show exactly whether changes affected the predictor, harness or research process.</w:t>
      </w:r>
    </w:p>
    <w:p>
      <w:pPr/>
      <w:r>
        <w:t>This is a proposed plan only. No implementation, agent dispatch or experiment has started.</w:t>
      </w:r>
    </w:p>
    <w:p>
      <w:pPr>
        <w:pStyle w:val="Heading1"/>
      </w:pPr>
      <w:r>
        <w:t>1. Starting point</w:t>
      </w:r>
    </w:p>
    <w:p>
      <w:pPr/>
      <w:r>
        <w:t>The current checkout is 2bf4c63. Existing uncommitted work will be preserved.</w:t>
      </w:r>
    </w:p>
    <w:p>
      <w:pPr>
        <w:keepNext/>
      </w:pPr>
      <w:r>
        <w:t>What we have:</w:t>
      </w:r>
    </w:p>
    <w:p>
      <w:pPr>
        <w:pStyle w:val="ListBullet"/>
        <w:keepLines/>
      </w:pPr>
      <w:r>
        <w:t>Thirteen completed candidates and 52 chronological fits from the earlier batch.</w:t>
      </w:r>
    </w:p>
    <w:p>
      <w:pPr>
        <w:pStyle w:val="ListBullet"/>
        <w:keepLines/>
      </w:pPr>
      <w:r>
        <w:t>Raw market remains incumbent.</w:t>
      </w:r>
    </w:p>
    <w:p>
      <w:pPr>
        <w:pStyle w:val="ListBullet"/>
        <w:keepLines/>
      </w:pPr>
      <w:r>
        <w:t>C7 improved its calibration parent, but did not beat market Brier.</w:t>
      </w:r>
    </w:p>
    <w:p>
      <w:pPr>
        <w:pStyle w:val="ListBullet"/>
        <w:keepLines/>
      </w:pPr>
      <w:r>
        <w:t>D1’s mathematical implementation and synthetic tests exist, but its executable entry lacks the required binding.</w:t>
      </w:r>
    </w:p>
    <w:p>
      <w:pPr>
        <w:pStyle w:val="ListBullet"/>
        <w:keepLines/>
      </w:pPr>
      <w:r>
        <w:t>A partial shared candidate adapter exists.</w:t>
      </w:r>
    </w:p>
    <w:p>
      <w:pPr>
        <w:pStyle w:val="ListBullet"/>
        <w:keepLines/>
      </w:pPr>
      <w:r>
        <w:t>The recorder stores feedback, but does not itself invoke the Controller or schedule its next experiment.</w:t>
      </w:r>
    </w:p>
    <w:p>
      <w:pPr>
        <w:pStyle w:val="ListBullet"/>
        <w:keepLines/>
      </w:pPr>
      <w:r>
        <w:t>The latest eight-hour batch expired without a new Train experiment.</w:t>
      </w:r>
    </w:p>
    <w:p>
      <w:pPr/>
      <w:r>
        <w:t>No matching experiment process was visible during this check. The status document still contains stale “running” entries.</w:t>
      </w:r>
    </w:p>
    <w:p>
      <w:pPr>
        <w:pStyle w:val="Heading1"/>
      </w:pPr>
      <w:r>
        <w:t>2. Scope and budget</w:t>
      </w:r>
    </w:p>
    <w:p>
      <w:pPr>
        <w:keepNext/>
      </w:pPr>
      <w:r>
        <w:t>I propose one fresh four-hour window, beginning when execution is approved, with:</w:t>
      </w:r>
    </w:p>
    <w:tbl>
      <w:tblPr>
        <w:tblW w:type="auto" w:w="0"/>
        <w:jc w:val="center"/>
        <w:tblLayout w:type="fixed"/>
        <w:tblLook w:firstColumn="1" w:firstRow="1" w:lastColumn="0" w:lastRow="0" w:noHBand="0" w:noVBand="1" w:val="04A0"/>
      </w:tblPr>
      <w:tblGrid>
        <w:gridCol w:w="6048"/>
        <w:gridCol w:w="3888"/>
      </w:tblGrid>
      <w:tr>
        <w:trPr>
          <w:cantSplit/>
          <w:tblHeader/>
        </w:trPr>
        <w:tc>
          <w:tcPr>
            <w:tcW w:type="dxa" w:w="6048"/>
            <w:vAlign w:val="center"/>
            <w:tcBorders>
              <w:top w:val="single" w:sz="4" w:color="D9D9D9"/>
              <w:left w:val="single" w:sz="4" w:color="D9D9D9"/>
              <w:bottom w:val="single" w:sz="4" w:color="D9D9D9"/>
              <w:right w:val="single" w:sz="4" w:color="D9D9D9"/>
            </w:tcBorders>
            <w:tcMar>
              <w:top w:w="95" w:type="dxa"/>
              <w:bottom w:w="95" w:type="dxa"/>
              <w:left w:w="115" w:type="dxa"/>
              <w:right w:w="115" w:type="dxa"/>
            </w:tcMar>
            <w:shd w:fill="E7EDF2"/>
          </w:tcPr>
          <w:p>
            <w:pPr>
              <w:spacing w:after="0" w:line="252" w:lineRule="auto"/>
            </w:pPr>
            <w:r>
              <w:rPr>
                <w:b/>
                <w:sz w:val="21"/>
              </w:rPr>
              <w:t>Resource</w:t>
            </w:r>
          </w:p>
        </w:tc>
        <w:tc>
          <w:tcPr>
            <w:tcW w:type="dxa" w:w="3888"/>
            <w:vAlign w:val="center"/>
            <w:tcBorders>
              <w:top w:val="single" w:sz="4" w:color="D9D9D9"/>
              <w:left w:val="single" w:sz="4" w:color="D9D9D9"/>
              <w:bottom w:val="single" w:sz="4" w:color="D9D9D9"/>
              <w:right w:val="single" w:sz="4" w:color="D9D9D9"/>
            </w:tcBorders>
            <w:tcMar>
              <w:top w:w="95" w:type="dxa"/>
              <w:bottom w:w="95" w:type="dxa"/>
              <w:left w:w="115" w:type="dxa"/>
              <w:right w:w="115" w:type="dxa"/>
            </w:tcMar>
            <w:shd w:fill="E7EDF2"/>
          </w:tcPr>
          <w:p>
            <w:pPr>
              <w:spacing w:after="0" w:line="252" w:lineRule="auto"/>
            </w:pPr>
            <w:r>
              <w:rPr>
                <w:b/>
                <w:sz w:val="21"/>
              </w:rPr>
              <w:t>Proposed ceiling</w:t>
            </w:r>
          </w:p>
        </w:tc>
      </w:tr>
      <w:tr>
        <w:trPr>
          <w:cantSplit/>
        </w:trPr>
        <w:tc>
          <w:tcPr>
            <w:tcW w:type="dxa" w:w="6048"/>
            <w:vAlign w:val="center"/>
            <w:tcBorders>
              <w:top w:val="single" w:sz="4" w:color="D9D9D9"/>
              <w:left w:val="single" w:sz="4" w:color="D9D9D9"/>
              <w:bottom w:val="single" w:sz="4" w:color="D9D9D9"/>
              <w:right w:val="single" w:sz="4" w:color="D9D9D9"/>
            </w:tcBorders>
            <w:tcMar>
              <w:top w:w="95" w:type="dxa"/>
              <w:bottom w:w="95" w:type="dxa"/>
              <w:left w:w="115" w:type="dxa"/>
              <w:right w:w="115" w:type="dxa"/>
            </w:tcMar>
            <w:shd w:fill="FFFFFF"/>
          </w:tcPr>
          <w:p>
            <w:pPr>
              <w:spacing w:after="0" w:line="252" w:lineRule="auto"/>
            </w:pPr>
            <w:r>
              <w:rPr>
                <w:b w:val="0"/>
                <w:sz w:val="21"/>
              </w:rPr>
              <w:t>Experiment attempts, including controls and failures</w:t>
            </w:r>
          </w:p>
        </w:tc>
        <w:tc>
          <w:tcPr>
            <w:tcW w:type="dxa" w:w="3888"/>
            <w:vAlign w:val="center"/>
            <w:tcBorders>
              <w:top w:val="single" w:sz="4" w:color="D9D9D9"/>
              <w:left w:val="single" w:sz="4" w:color="D9D9D9"/>
              <w:bottom w:val="single" w:sz="4" w:color="D9D9D9"/>
              <w:right w:val="single" w:sz="4" w:color="D9D9D9"/>
            </w:tcBorders>
            <w:tcMar>
              <w:top w:w="95" w:type="dxa"/>
              <w:bottom w:w="95" w:type="dxa"/>
              <w:left w:w="115" w:type="dxa"/>
              <w:right w:w="115" w:type="dxa"/>
            </w:tcMar>
            <w:shd w:fill="FFFFFF"/>
          </w:tcPr>
          <w:p>
            <w:pPr>
              <w:spacing w:after="0" w:line="252" w:lineRule="auto"/>
            </w:pPr>
            <w:r>
              <w:rPr>
                <w:b w:val="0"/>
                <w:sz w:val="21"/>
              </w:rPr>
              <w:t>6</w:t>
            </w:r>
          </w:p>
        </w:tc>
      </w:tr>
      <w:tr>
        <w:trPr>
          <w:cantSplit/>
        </w:trPr>
        <w:tc>
          <w:tcPr>
            <w:tcW w:type="dxa" w:w="6048"/>
            <w:vAlign w:val="center"/>
            <w:tcBorders>
              <w:top w:val="single" w:sz="4" w:color="D9D9D9"/>
              <w:left w:val="single" w:sz="4" w:color="D9D9D9"/>
              <w:bottom w:val="single" w:sz="4" w:color="D9D9D9"/>
              <w:right w:val="single" w:sz="4" w:color="D9D9D9"/>
            </w:tcBorders>
            <w:tcMar>
              <w:top w:w="95" w:type="dxa"/>
              <w:bottom w:w="95" w:type="dxa"/>
              <w:left w:w="115" w:type="dxa"/>
              <w:right w:w="115" w:type="dxa"/>
            </w:tcMar>
            <w:shd w:fill="FFFFFF"/>
          </w:tcPr>
          <w:p>
            <w:pPr>
              <w:spacing w:after="0" w:line="252" w:lineRule="auto"/>
            </w:pPr>
            <w:r>
              <w:rPr>
                <w:b w:val="0"/>
                <w:sz w:val="21"/>
              </w:rPr>
              <w:t>Statistical fits</w:t>
            </w:r>
          </w:p>
        </w:tc>
        <w:tc>
          <w:tcPr>
            <w:tcW w:type="dxa" w:w="3888"/>
            <w:vAlign w:val="center"/>
            <w:tcBorders>
              <w:top w:val="single" w:sz="4" w:color="D9D9D9"/>
              <w:left w:val="single" w:sz="4" w:color="D9D9D9"/>
              <w:bottom w:val="single" w:sz="4" w:color="D9D9D9"/>
              <w:right w:val="single" w:sz="4" w:color="D9D9D9"/>
            </w:tcBorders>
            <w:tcMar>
              <w:top w:w="95" w:type="dxa"/>
              <w:bottom w:w="95" w:type="dxa"/>
              <w:left w:w="115" w:type="dxa"/>
              <w:right w:w="115" w:type="dxa"/>
            </w:tcMar>
            <w:shd w:fill="FFFFFF"/>
          </w:tcPr>
          <w:p>
            <w:pPr>
              <w:spacing w:after="0" w:line="252" w:lineRule="auto"/>
            </w:pPr>
            <w:r>
              <w:rPr>
                <w:b w:val="0"/>
                <w:sz w:val="21"/>
              </w:rPr>
              <w:t>24</w:t>
            </w:r>
          </w:p>
        </w:tc>
      </w:tr>
      <w:tr>
        <w:trPr>
          <w:cantSplit/>
        </w:trPr>
        <w:tc>
          <w:tcPr>
            <w:tcW w:type="dxa" w:w="6048"/>
            <w:vAlign w:val="center"/>
            <w:tcBorders>
              <w:top w:val="single" w:sz="4" w:color="D9D9D9"/>
              <w:left w:val="single" w:sz="4" w:color="D9D9D9"/>
              <w:bottom w:val="single" w:sz="4" w:color="D9D9D9"/>
              <w:right w:val="single" w:sz="4" w:color="D9D9D9"/>
            </w:tcBorders>
            <w:tcMar>
              <w:top w:w="95" w:type="dxa"/>
              <w:bottom w:w="95" w:type="dxa"/>
              <w:left w:w="115" w:type="dxa"/>
              <w:right w:w="115" w:type="dxa"/>
            </w:tcMar>
            <w:shd w:fill="FFFFFF"/>
          </w:tcPr>
          <w:p>
            <w:pPr>
              <w:spacing w:after="0" w:line="252" w:lineRule="auto"/>
            </w:pPr>
            <w:r>
              <w:rPr>
                <w:b w:val="0"/>
                <w:sz w:val="21"/>
              </w:rPr>
              <w:t>Concurrent candidate processes</w:t>
            </w:r>
          </w:p>
        </w:tc>
        <w:tc>
          <w:tcPr>
            <w:tcW w:type="dxa" w:w="3888"/>
            <w:vAlign w:val="center"/>
            <w:tcBorders>
              <w:top w:val="single" w:sz="4" w:color="D9D9D9"/>
              <w:left w:val="single" w:sz="4" w:color="D9D9D9"/>
              <w:bottom w:val="single" w:sz="4" w:color="D9D9D9"/>
              <w:right w:val="single" w:sz="4" w:color="D9D9D9"/>
            </w:tcBorders>
            <w:tcMar>
              <w:top w:w="95" w:type="dxa"/>
              <w:bottom w:w="95" w:type="dxa"/>
              <w:left w:w="115" w:type="dxa"/>
              <w:right w:w="115" w:type="dxa"/>
            </w:tcMar>
            <w:shd w:fill="FFFFFF"/>
          </w:tcPr>
          <w:p>
            <w:pPr>
              <w:spacing w:after="0" w:line="252" w:lineRule="auto"/>
            </w:pPr>
            <w:r>
              <w:rPr>
                <w:b w:val="0"/>
                <w:sz w:val="21"/>
              </w:rPr>
              <w:t>2</w:t>
            </w:r>
          </w:p>
        </w:tc>
      </w:tr>
      <w:tr>
        <w:trPr>
          <w:cantSplit/>
        </w:trPr>
        <w:tc>
          <w:tcPr>
            <w:tcW w:type="dxa" w:w="6048"/>
            <w:vAlign w:val="center"/>
            <w:tcBorders>
              <w:top w:val="single" w:sz="4" w:color="D9D9D9"/>
              <w:left w:val="single" w:sz="4" w:color="D9D9D9"/>
              <w:bottom w:val="single" w:sz="4" w:color="D9D9D9"/>
              <w:right w:val="single" w:sz="4" w:color="D9D9D9"/>
            </w:tcBorders>
            <w:tcMar>
              <w:top w:w="95" w:type="dxa"/>
              <w:bottom w:w="95" w:type="dxa"/>
              <w:left w:w="115" w:type="dxa"/>
              <w:right w:w="115" w:type="dxa"/>
            </w:tcMar>
            <w:shd w:fill="FFFFFF"/>
          </w:tcPr>
          <w:p>
            <w:pPr>
              <w:spacing w:after="0" w:line="252" w:lineRule="auto"/>
            </w:pPr>
            <w:r>
              <w:rPr>
                <w:b w:val="0"/>
                <w:sz w:val="21"/>
              </w:rPr>
              <w:t>Threads per training process</w:t>
            </w:r>
          </w:p>
        </w:tc>
        <w:tc>
          <w:tcPr>
            <w:tcW w:type="dxa" w:w="3888"/>
            <w:vAlign w:val="center"/>
            <w:tcBorders>
              <w:top w:val="single" w:sz="4" w:color="D9D9D9"/>
              <w:left w:val="single" w:sz="4" w:color="D9D9D9"/>
              <w:bottom w:val="single" w:sz="4" w:color="D9D9D9"/>
              <w:right w:val="single" w:sz="4" w:color="D9D9D9"/>
            </w:tcBorders>
            <w:tcMar>
              <w:top w:w="95" w:type="dxa"/>
              <w:bottom w:w="95" w:type="dxa"/>
              <w:left w:w="115" w:type="dxa"/>
              <w:right w:w="115" w:type="dxa"/>
            </w:tcMar>
            <w:shd w:fill="FFFFFF"/>
          </w:tcPr>
          <w:p>
            <w:pPr>
              <w:spacing w:after="0" w:line="252" w:lineRule="auto"/>
            </w:pPr>
            <w:r>
              <w:rPr>
                <w:b w:val="0"/>
                <w:sz w:val="21"/>
              </w:rPr>
              <w:t>1</w:t>
            </w:r>
          </w:p>
        </w:tc>
      </w:tr>
      <w:tr>
        <w:trPr>
          <w:cantSplit/>
        </w:trPr>
        <w:tc>
          <w:tcPr>
            <w:tcW w:type="dxa" w:w="6048"/>
            <w:vAlign w:val="center"/>
            <w:tcBorders>
              <w:top w:val="single" w:sz="4" w:color="D9D9D9"/>
              <w:left w:val="single" w:sz="4" w:color="D9D9D9"/>
              <w:bottom w:val="single" w:sz="4" w:color="D9D9D9"/>
              <w:right w:val="single" w:sz="4" w:color="D9D9D9"/>
            </w:tcBorders>
            <w:tcMar>
              <w:top w:w="95" w:type="dxa"/>
              <w:bottom w:w="95" w:type="dxa"/>
              <w:left w:w="115" w:type="dxa"/>
              <w:right w:w="115" w:type="dxa"/>
            </w:tcMar>
            <w:shd w:fill="FFFFFF"/>
          </w:tcPr>
          <w:p>
            <w:pPr>
              <w:spacing w:after="0" w:line="252" w:lineRule="auto"/>
            </w:pPr>
            <w:r>
              <w:rPr>
                <w:b w:val="0"/>
                <w:sz w:val="21"/>
              </w:rPr>
              <w:t>Per-attempt execution time</w:t>
            </w:r>
          </w:p>
        </w:tc>
        <w:tc>
          <w:tcPr>
            <w:tcW w:type="dxa" w:w="3888"/>
            <w:vAlign w:val="center"/>
            <w:tcBorders>
              <w:top w:val="single" w:sz="4" w:color="D9D9D9"/>
              <w:left w:val="single" w:sz="4" w:color="D9D9D9"/>
              <w:bottom w:val="single" w:sz="4" w:color="D9D9D9"/>
              <w:right w:val="single" w:sz="4" w:color="D9D9D9"/>
            </w:tcBorders>
            <w:tcMar>
              <w:top w:w="95" w:type="dxa"/>
              <w:bottom w:w="95" w:type="dxa"/>
              <w:left w:w="115" w:type="dxa"/>
              <w:right w:w="115" w:type="dxa"/>
            </w:tcMar>
            <w:shd w:fill="FFFFFF"/>
          </w:tcPr>
          <w:p>
            <w:pPr>
              <w:spacing w:after="0" w:line="252" w:lineRule="auto"/>
            </w:pPr>
            <w:r>
              <w:rPr>
                <w:b w:val="0"/>
                <w:sz w:val="21"/>
              </w:rPr>
              <w:t>15 minutes, shortened by the remaining deadline</w:t>
            </w:r>
          </w:p>
        </w:tc>
      </w:tr>
      <w:tr>
        <w:trPr>
          <w:cantSplit/>
        </w:trPr>
        <w:tc>
          <w:tcPr>
            <w:tcW w:type="dxa" w:w="6048"/>
            <w:vAlign w:val="center"/>
            <w:tcBorders>
              <w:top w:val="single" w:sz="4" w:color="D9D9D9"/>
              <w:left w:val="single" w:sz="4" w:color="D9D9D9"/>
              <w:bottom w:val="single" w:sz="4" w:color="D9D9D9"/>
              <w:right w:val="single" w:sz="4" w:color="D9D9D9"/>
            </w:tcBorders>
            <w:tcMar>
              <w:top w:w="95" w:type="dxa"/>
              <w:bottom w:w="95" w:type="dxa"/>
              <w:left w:w="115" w:type="dxa"/>
              <w:right w:w="115" w:type="dxa"/>
            </w:tcMar>
            <w:shd w:fill="FFFFFF"/>
          </w:tcPr>
          <w:p>
            <w:pPr>
              <w:spacing w:after="0" w:line="252" w:lineRule="auto"/>
            </w:pPr>
            <w:r>
              <w:rPr>
                <w:b w:val="0"/>
                <w:sz w:val="21"/>
              </w:rPr>
              <w:t>Sampled child memory stop threshold</w:t>
            </w:r>
          </w:p>
        </w:tc>
        <w:tc>
          <w:tcPr>
            <w:tcW w:type="dxa" w:w="3888"/>
            <w:vAlign w:val="center"/>
            <w:tcBorders>
              <w:top w:val="single" w:sz="4" w:color="D9D9D9"/>
              <w:left w:val="single" w:sz="4" w:color="D9D9D9"/>
              <w:bottom w:val="single" w:sz="4" w:color="D9D9D9"/>
              <w:right w:val="single" w:sz="4" w:color="D9D9D9"/>
            </w:tcBorders>
            <w:tcMar>
              <w:top w:w="95" w:type="dxa"/>
              <w:bottom w:w="95" w:type="dxa"/>
              <w:left w:w="115" w:type="dxa"/>
              <w:right w:w="115" w:type="dxa"/>
            </w:tcMar>
            <w:shd w:fill="FFFFFF"/>
          </w:tcPr>
          <w:p>
            <w:pPr>
              <w:spacing w:after="0" w:line="252" w:lineRule="auto"/>
            </w:pPr>
            <w:r>
              <w:rPr>
                <w:b w:val="0"/>
                <w:sz w:val="21"/>
              </w:rPr>
              <w:t>1 GiB</w:t>
            </w:r>
          </w:p>
        </w:tc>
      </w:tr>
      <w:tr>
        <w:trPr>
          <w:cantSplit/>
        </w:trPr>
        <w:tc>
          <w:tcPr>
            <w:tcW w:type="dxa" w:w="6048"/>
            <w:vAlign w:val="center"/>
            <w:tcBorders>
              <w:top w:val="single" w:sz="4" w:color="D9D9D9"/>
              <w:left w:val="single" w:sz="4" w:color="D9D9D9"/>
              <w:bottom w:val="single" w:sz="4" w:color="D9D9D9"/>
              <w:right w:val="single" w:sz="4" w:color="D9D9D9"/>
            </w:tcBorders>
            <w:tcMar>
              <w:top w:w="95" w:type="dxa"/>
              <w:bottom w:w="95" w:type="dxa"/>
              <w:left w:w="115" w:type="dxa"/>
              <w:right w:w="115" w:type="dxa"/>
            </w:tcMar>
            <w:shd w:fill="FFFFFF"/>
          </w:tcPr>
          <w:p>
            <w:pPr>
              <w:spacing w:after="0" w:line="252" w:lineRule="auto"/>
            </w:pPr>
            <w:r>
              <w:rPr>
                <w:b w:val="0"/>
                <w:sz w:val="21"/>
              </w:rPr>
              <w:t>Paid provider calls / new provider spend</w:t>
            </w:r>
          </w:p>
        </w:tc>
        <w:tc>
          <w:tcPr>
            <w:tcW w:type="dxa" w:w="3888"/>
            <w:vAlign w:val="center"/>
            <w:tcBorders>
              <w:top w:val="single" w:sz="4" w:color="D9D9D9"/>
              <w:left w:val="single" w:sz="4" w:color="D9D9D9"/>
              <w:bottom w:val="single" w:sz="4" w:color="D9D9D9"/>
              <w:right w:val="single" w:sz="4" w:color="D9D9D9"/>
            </w:tcBorders>
            <w:tcMar>
              <w:top w:w="95" w:type="dxa"/>
              <w:bottom w:w="95" w:type="dxa"/>
              <w:left w:w="115" w:type="dxa"/>
              <w:right w:w="115" w:type="dxa"/>
            </w:tcMar>
            <w:shd w:fill="FFFFFF"/>
          </w:tcPr>
          <w:p>
            <w:pPr>
              <w:spacing w:after="0" w:line="252" w:lineRule="auto"/>
            </w:pPr>
            <w:r>
              <w:rPr>
                <w:b w:val="0"/>
                <w:sz w:val="21"/>
              </w:rPr>
              <w:t>0 / $0</w:t>
            </w:r>
          </w:p>
        </w:tc>
      </w:tr>
    </w:tbl>
    <w:p>
      <w:pPr>
        <w:spacing w:before="140"/>
      </w:pPr>
      <w:r>
        <w:t>An experiment slot is consumed once a concrete recipe is selected for implementation/execution. A failed implementation or pre-fit launch does not receive a free replacement. Synthetic tests consume time, but are not statistical fits.</w:t>
      </w:r>
    </w:p>
    <w:p>
      <w:pPr/>
      <w:r>
        <w:t>Codex account usage is separate: record calls, usage where available and capacity errors; do not describe it as cost-free merely because provider spend is zero.</w:t>
      </w:r>
    </w:p>
    <w:p>
      <w:pPr/>
      <w:r>
        <w:t>Priority: first verified new scorecard around minute 90, followed by 2–3 feedback-dependent prediction experiments. These are targets, not guaranteed outcomes.</w:t>
      </w:r>
    </w:p>
    <w:p>
      <w:pPr>
        <w:pStyle w:val="Heading1"/>
      </w:pPr>
      <w:r>
        <w:t>3. Fixed evaluation and permissions</w:t>
      </w:r>
    </w:p>
    <w:p>
      <w:pPr/>
      <w:r>
        <w:t>The batch continues InGameWinProbabilityTrainDiagnostic-v0.</w:t>
      </w:r>
    </w:p>
    <w:p>
      <w:pPr>
        <w:keepNext/>
      </w:pPr>
      <w:r>
        <w:t>Keep unchanged:</w:t>
      </w:r>
    </w:p>
    <w:p>
      <w:pPr>
        <w:pStyle w:val="ListBullet"/>
        <w:keepLines/>
      </w:pPr>
      <w:r>
        <w:t>The 195-event population, 193 materialized events and two recorded exclusions.</w:t>
      </w:r>
    </w:p>
    <w:p>
      <w:pPr>
        <w:pStyle w:val="ListBullet"/>
        <w:keepLines/>
      </w:pPr>
      <w:r>
        <w:t>The frozen in-game checkpoint, outcome orientation, strict prior-market observation and 300-second maximum staleness.</w:t>
      </w:r>
    </w:p>
    <w:p>
      <w:pPr>
        <w:pStyle w:val="ListBullet"/>
        <w:keepLines/>
      </w:pPr>
      <w:r>
        <w:t>Initial 22 fit dates and four expanding five-date check blocks.</w:t>
      </w:r>
    </w:p>
    <w:p>
      <w:pPr>
        <w:pStyle w:val="ListBullet"/>
        <w:keepLines/>
      </w:pPr>
      <w:r>
        <w:t>The same 87 check games, 20 dates and seven weeks.</w:t>
      </w:r>
    </w:p>
    <w:p>
      <w:pPr>
        <w:pStyle w:val="ListBullet"/>
        <w:keepLines/>
      </w:pPr>
      <w:r>
        <w:t>Equal-event Brier as primary metric.</w:t>
      </w:r>
    </w:p>
    <w:p>
      <w:pPr>
        <w:pStyle w:val="ListBullet"/>
        <w:keepLines/>
      </w:pPr>
      <w:r>
        <w:t>Log loss, calibration, block results and existing event-weighted date/week bootstrap analysis.</w:t>
      </w:r>
    </w:p>
    <w:p>
      <w:pPr>
        <w:pStyle w:val="ListBullet"/>
        <w:keepLines/>
      </w:pPr>
      <w:r>
        <w:t>Market, ordinary reference and frozen v0 comparisons.</w:t>
      </w:r>
    </w:p>
    <w:p>
      <w:pPr>
        <w:pStyle w:val="ListBullet"/>
        <w:keepLines/>
      </w:pPr>
      <w:r>
        <w:t>Historical scores, source versions, KEEP/REVERT decisions and exposure history.</w:t>
      </w:r>
    </w:p>
    <w:p>
      <w:pPr/>
      <w:r>
        <w:t>Resident Train research remains allowed. Dev/Final, new external acquisition, paid providers, remote publication, release and promotion remain closed.</w:t>
      </w:r>
    </w:p>
    <w:p>
      <w:pPr/>
      <w:r>
        <w:t>No task switch, benchmark rebuild, new reward service or per-round release/canary machinery.</w:t>
      </w:r>
    </w:p>
    <w:p>
      <w:pPr>
        <w:pStyle w:val="Heading1"/>
      </w:pPr>
      <w:r>
        <w:t>4. Separate “winning” from “moving forward”</w:t>
      </w:r>
    </w:p>
    <w:p>
      <w:pPr/>
      <w:r>
        <w:t>We will retain the existing KEEP function. The proposed change is to the research feedback and selection layer, not the scorer.</w:t>
      </w:r>
    </w:p>
    <w:p>
      <w:pPr>
        <w:keepNext/>
      </w:pPr>
      <w:r>
        <w:t>Every completed experiment receives separate records:</w:t>
      </w:r>
    </w:p>
    <w:tbl>
      <w:tblPr>
        <w:tblW w:type="auto" w:w="0"/>
        <w:jc w:val="center"/>
        <w:tblLayout w:type="fixed"/>
        <w:tblLook w:firstColumn="1" w:firstRow="1" w:lastColumn="0" w:lastRow="0" w:noHBand="0" w:noVBand="1" w:val="04A0"/>
      </w:tblPr>
      <w:tblGrid>
        <w:gridCol w:w="2520"/>
        <w:gridCol w:w="7416"/>
      </w:tblGrid>
      <w:tr>
        <w:trPr>
          <w:cantSplit/>
          <w:tblHeader/>
        </w:trPr>
        <w:tc>
          <w:tcPr>
            <w:tcW w:type="dxa" w:w="2520"/>
            <w:vAlign w:val="center"/>
            <w:tcBorders>
              <w:top w:val="single" w:sz="4" w:color="D9D9D9"/>
              <w:left w:val="single" w:sz="4" w:color="D9D9D9"/>
              <w:bottom w:val="single" w:sz="4" w:color="D9D9D9"/>
              <w:right w:val="single" w:sz="4" w:color="D9D9D9"/>
            </w:tcBorders>
            <w:tcMar>
              <w:top w:w="95" w:type="dxa"/>
              <w:bottom w:w="95" w:type="dxa"/>
              <w:left w:w="115" w:type="dxa"/>
              <w:right w:w="115" w:type="dxa"/>
            </w:tcMar>
            <w:shd w:fill="E7EDF2"/>
          </w:tcPr>
          <w:p>
            <w:pPr>
              <w:spacing w:after="0" w:line="252" w:lineRule="auto"/>
            </w:pPr>
            <w:r>
              <w:rPr>
                <w:b/>
                <w:sz w:val="21"/>
              </w:rPr>
              <w:t>Record</w:t>
            </w:r>
          </w:p>
        </w:tc>
        <w:tc>
          <w:tcPr>
            <w:tcW w:type="dxa" w:w="7416"/>
            <w:vAlign w:val="center"/>
            <w:tcBorders>
              <w:top w:val="single" w:sz="4" w:color="D9D9D9"/>
              <w:left w:val="single" w:sz="4" w:color="D9D9D9"/>
              <w:bottom w:val="single" w:sz="4" w:color="D9D9D9"/>
              <w:right w:val="single" w:sz="4" w:color="D9D9D9"/>
            </w:tcBorders>
            <w:tcMar>
              <w:top w:w="95" w:type="dxa"/>
              <w:bottom w:w="95" w:type="dxa"/>
              <w:left w:w="115" w:type="dxa"/>
              <w:right w:w="115" w:type="dxa"/>
            </w:tcMar>
            <w:shd w:fill="E7EDF2"/>
          </w:tcPr>
          <w:p>
            <w:pPr>
              <w:spacing w:after="0" w:line="252" w:lineRule="auto"/>
            </w:pPr>
            <w:r>
              <w:rPr>
                <w:b/>
                <w:sz w:val="21"/>
              </w:rPr>
              <w:t>Meaning</w:t>
            </w:r>
          </w:p>
        </w:tc>
      </w:tr>
      <w:tr>
        <w:trPr>
          <w:cantSplit/>
        </w:trPr>
        <w:tc>
          <w:tcPr>
            <w:tcW w:type="dxa" w:w="2520"/>
            <w:vAlign w:val="center"/>
            <w:tcBorders>
              <w:top w:val="single" w:sz="4" w:color="D9D9D9"/>
              <w:left w:val="single" w:sz="4" w:color="D9D9D9"/>
              <w:bottom w:val="single" w:sz="4" w:color="D9D9D9"/>
              <w:right w:val="single" w:sz="4" w:color="D9D9D9"/>
            </w:tcBorders>
            <w:tcMar>
              <w:top w:w="95" w:type="dxa"/>
              <w:bottom w:w="95" w:type="dxa"/>
              <w:left w:w="115" w:type="dxa"/>
              <w:right w:w="115" w:type="dxa"/>
            </w:tcMar>
            <w:shd w:fill="FFFFFF"/>
          </w:tcPr>
          <w:p>
            <w:pPr>
              <w:spacing w:after="0" w:line="252" w:lineRule="auto"/>
            </w:pPr>
            <w:r>
              <w:rPr>
                <w:b w:val="0"/>
                <w:sz w:val="21"/>
              </w:rPr>
              <w:t>Incumbent decision</w:t>
            </w:r>
          </w:p>
        </w:tc>
        <w:tc>
          <w:tcPr>
            <w:tcW w:type="dxa" w:w="7416"/>
            <w:vAlign w:val="center"/>
            <w:tcBorders>
              <w:top w:val="single" w:sz="4" w:color="D9D9D9"/>
              <w:left w:val="single" w:sz="4" w:color="D9D9D9"/>
              <w:bottom w:val="single" w:sz="4" w:color="D9D9D9"/>
              <w:right w:val="single" w:sz="4" w:color="D9D9D9"/>
            </w:tcBorders>
            <w:tcMar>
              <w:top w:w="95" w:type="dxa"/>
              <w:bottom w:w="95" w:type="dxa"/>
              <w:left w:w="115" w:type="dxa"/>
              <w:right w:w="115" w:type="dxa"/>
            </w:tcMar>
            <w:shd w:fill="FFFFFF"/>
          </w:tcPr>
          <w:p>
            <w:pPr>
              <w:spacing w:after="0" w:line="252" w:lineRule="auto"/>
            </w:pPr>
            <w:r>
              <w:rPr>
                <w:b w:val="0"/>
                <w:sz w:val="21"/>
              </w:rPr>
              <w:t>Existing frozen KEEP/REVERT rule</w:t>
            </w:r>
          </w:p>
        </w:tc>
      </w:tr>
      <w:tr>
        <w:trPr>
          <w:cantSplit/>
        </w:trPr>
        <w:tc>
          <w:tcPr>
            <w:tcW w:type="dxa" w:w="2520"/>
            <w:vAlign w:val="center"/>
            <w:tcBorders>
              <w:top w:val="single" w:sz="4" w:color="D9D9D9"/>
              <w:left w:val="single" w:sz="4" w:color="D9D9D9"/>
              <w:bottom w:val="single" w:sz="4" w:color="D9D9D9"/>
              <w:right w:val="single" w:sz="4" w:color="D9D9D9"/>
            </w:tcBorders>
            <w:tcMar>
              <w:top w:w="95" w:type="dxa"/>
              <w:bottom w:w="95" w:type="dxa"/>
              <w:left w:w="115" w:type="dxa"/>
              <w:right w:w="115" w:type="dxa"/>
            </w:tcMar>
            <w:shd w:fill="FFFFFF"/>
          </w:tcPr>
          <w:p>
            <w:pPr>
              <w:spacing w:after="0" w:line="252" w:lineRule="auto"/>
            </w:pPr>
            <w:r>
              <w:rPr>
                <w:b w:val="0"/>
                <w:sz w:val="21"/>
              </w:rPr>
              <w:t>Discovery ranking</w:t>
            </w:r>
          </w:p>
        </w:tc>
        <w:tc>
          <w:tcPr>
            <w:tcW w:type="dxa" w:w="7416"/>
            <w:vAlign w:val="center"/>
            <w:tcBorders>
              <w:top w:val="single" w:sz="4" w:color="D9D9D9"/>
              <w:left w:val="single" w:sz="4" w:color="D9D9D9"/>
              <w:bottom w:val="single" w:sz="4" w:color="D9D9D9"/>
              <w:right w:val="single" w:sz="4" w:color="D9D9D9"/>
            </w:tcBorders>
            <w:tcMar>
              <w:top w:w="95" w:type="dxa"/>
              <w:bottom w:w="95" w:type="dxa"/>
              <w:left w:w="115" w:type="dxa"/>
              <w:right w:w="115" w:type="dxa"/>
            </w:tcMar>
            <w:shd w:fill="FFFFFF"/>
          </w:tcPr>
          <w:p>
            <w:pPr>
              <w:spacing w:after="0" w:line="252" w:lineRule="auto"/>
            </w:pPr>
            <w:r>
              <w:rPr>
                <w:b w:val="0"/>
                <w:sz w:val="21"/>
              </w:rPr>
              <w:t>Best observed primary Brier on the identical evaluation samples; uncertainty and secondary metrics remain visible</w:t>
            </w:r>
          </w:p>
        </w:tc>
      </w:tr>
      <w:tr>
        <w:trPr>
          <w:cantSplit/>
        </w:trPr>
        <w:tc>
          <w:tcPr>
            <w:tcW w:type="dxa" w:w="2520"/>
            <w:vAlign w:val="center"/>
            <w:tcBorders>
              <w:top w:val="single" w:sz="4" w:color="D9D9D9"/>
              <w:left w:val="single" w:sz="4" w:color="D9D9D9"/>
              <w:bottom w:val="single" w:sz="4" w:color="D9D9D9"/>
              <w:right w:val="single" w:sz="4" w:color="D9D9D9"/>
            </w:tcBorders>
            <w:tcMar>
              <w:top w:w="95" w:type="dxa"/>
              <w:bottom w:w="95" w:type="dxa"/>
              <w:left w:w="115" w:type="dxa"/>
              <w:right w:w="115" w:type="dxa"/>
            </w:tcMar>
            <w:shd w:fill="FFFFFF"/>
          </w:tcPr>
          <w:p>
            <w:pPr>
              <w:spacing w:after="0" w:line="252" w:lineRule="auto"/>
            </w:pPr>
            <w:r>
              <w:rPr>
                <w:b w:val="0"/>
                <w:sz w:val="21"/>
              </w:rPr>
              <w:t>Development decision</w:t>
            </w:r>
          </w:p>
        </w:tc>
        <w:tc>
          <w:tcPr>
            <w:tcW w:type="dxa" w:w="7416"/>
            <w:vAlign w:val="center"/>
            <w:tcBorders>
              <w:top w:val="single" w:sz="4" w:color="D9D9D9"/>
              <w:left w:val="single" w:sz="4" w:color="D9D9D9"/>
              <w:bottom w:val="single" w:sz="4" w:color="D9D9D9"/>
              <w:right w:val="single" w:sz="4" w:color="D9D9D9"/>
            </w:tcBorders>
            <w:tcMar>
              <w:top w:w="95" w:type="dxa"/>
              <w:bottom w:w="95" w:type="dxa"/>
              <w:left w:w="115" w:type="dxa"/>
              <w:right w:w="115" w:type="dxa"/>
            </w:tcMar>
            <w:shd w:fill="FFFFFF"/>
          </w:tcPr>
          <w:p>
            <w:pPr>
              <w:spacing w:after="0" w:line="252" w:lineRule="auto"/>
            </w:pPr>
            <w:r>
              <w:rPr>
                <w:b w:val="0"/>
                <w:sz w:val="21"/>
              </w:rPr>
              <w:t>Advance branch, retain for a distinct question, stop exact recipe, or repair invalid execution</w:t>
            </w:r>
          </w:p>
        </w:tc>
      </w:tr>
      <w:tr>
        <w:trPr>
          <w:cantSplit/>
        </w:trPr>
        <w:tc>
          <w:tcPr>
            <w:tcW w:type="dxa" w:w="2520"/>
            <w:vAlign w:val="center"/>
            <w:tcBorders>
              <w:top w:val="single" w:sz="4" w:color="D9D9D9"/>
              <w:left w:val="single" w:sz="4" w:color="D9D9D9"/>
              <w:bottom w:val="single" w:sz="4" w:color="D9D9D9"/>
              <w:right w:val="single" w:sz="4" w:color="D9D9D9"/>
            </w:tcBorders>
            <w:tcMar>
              <w:top w:w="95" w:type="dxa"/>
              <w:bottom w:w="95" w:type="dxa"/>
              <w:left w:w="115" w:type="dxa"/>
              <w:right w:w="115" w:type="dxa"/>
            </w:tcMar>
            <w:shd w:fill="FFFFFF"/>
          </w:tcPr>
          <w:p>
            <w:pPr>
              <w:spacing w:after="0" w:line="252" w:lineRule="auto"/>
            </w:pPr>
            <w:r>
              <w:rPr>
                <w:b w:val="0"/>
                <w:sz w:val="21"/>
              </w:rPr>
              <w:t>Evidence validity</w:t>
            </w:r>
          </w:p>
        </w:tc>
        <w:tc>
          <w:tcPr>
            <w:tcW w:type="dxa" w:w="7416"/>
            <w:vAlign w:val="center"/>
            <w:tcBorders>
              <w:top w:val="single" w:sz="4" w:color="D9D9D9"/>
              <w:left w:val="single" w:sz="4" w:color="D9D9D9"/>
              <w:bottom w:val="single" w:sz="4" w:color="D9D9D9"/>
              <w:right w:val="single" w:sz="4" w:color="D9D9D9"/>
            </w:tcBorders>
            <w:tcMar>
              <w:top w:w="95" w:type="dxa"/>
              <w:bottom w:w="95" w:type="dxa"/>
              <w:left w:w="115" w:type="dxa"/>
              <w:right w:w="115" w:type="dxa"/>
            </w:tcMar>
            <w:shd w:fill="FFFFFF"/>
          </w:tcPr>
          <w:p>
            <w:pPr>
              <w:spacing w:after="0" w:line="252" w:lineRule="auto"/>
            </w:pPr>
            <w:r>
              <w:rPr>
                <w:b w:val="0"/>
                <w:sz w:val="21"/>
              </w:rPr>
              <w:t>Valid result, uncertain result, or invalid/failed execution</w:t>
            </w:r>
          </w:p>
        </w:tc>
      </w:tr>
    </w:tbl>
    <w:p>
      <w:pPr>
        <w:keepNext/>
        <w:spacing w:before="140"/>
      </w:pPr>
      <w:r>
        <w:t>Consequences:</w:t>
      </w:r>
    </w:p>
    <w:p>
      <w:pPr>
        <w:pStyle w:val="ListBullet"/>
        <w:keepLines/>
      </w:pPr>
      <w:r>
        <w:t>REVERT does not remove exploration eligibility automatically.</w:t>
      </w:r>
    </w:p>
    <w:p>
      <w:pPr>
        <w:pStyle w:val="ListBullet"/>
        <w:keepLines/>
      </w:pPr>
      <w:r>
        <w:t>Statistical significance is not required to propose another Train experiment.</w:t>
      </w:r>
    </w:p>
    <w:p>
      <w:pPr>
        <w:pStyle w:val="ListBullet"/>
        <w:keepLines/>
      </w:pPr>
      <w:r>
        <w:t>An improvement over a research parent is reported even if market remains better.</w:t>
      </w:r>
    </w:p>
    <w:p>
      <w:pPr>
        <w:pStyle w:val="ListBullet"/>
        <w:keepLines/>
      </w:pPr>
      <w:r>
        <w:t>Historical REFUTED labels remain intact, with an explanation of what the result actually establishes.</w:t>
      </w:r>
    </w:p>
    <w:p>
      <w:pPr>
        <w:pStyle w:val="ListBullet"/>
        <w:keepLines/>
      </w:pPr>
      <w:r>
        <w:t>A tiny observed improvement is not called confirmed predictive progress.</w:t>
      </w:r>
    </w:p>
    <w:p>
      <w:pPr>
        <w:pStyle w:val="ListBullet"/>
        <w:keepLines/>
      </w:pPr>
      <w:r>
        <w:t>A failed trainer is not treated as evidence that an entire information family is useless.</w:t>
      </w:r>
    </w:p>
    <w:p>
      <w:pPr/>
      <w:r>
        <w:t>The “best observed” ranking is descriptive, not a new incumbent or promotion rule. This implements the research-progress skill’s distinction between prediction decisions and development decisions.</w:t>
      </w:r>
    </w:p>
    <w:p>
      <w:pPr>
        <w:pStyle w:val="Heading1"/>
      </w:pPr>
      <w:r>
        <w:t>5. Execution checkpoints</w:t>
      </w:r>
    </w:p>
    <w:p>
      <w:pPr>
        <w:pStyle w:val="Heading2"/>
      </w:pPr>
      <w:r>
        <w:t>P0 — Reconcile state and establish working agents</w:t>
      </w:r>
    </w:p>
    <w:p>
      <w:pPr>
        <w:keepNext/>
      </w:pPr>
      <w:r>
        <w:t>Owner: Supervisor</w:t>
      </w:r>
    </w:p>
    <w:p>
      <w:pPr>
        <w:keepNext/>
      </w:pPr>
      <w:r>
        <w:t>Time box: first 10 minutes</w:t>
      </w:r>
    </w:p>
    <w:p>
      <w:pPr>
        <w:keepNext/>
      </w:pPr>
      <w:r>
        <w:t>Actions:</w:t>
      </w:r>
    </w:p>
    <w:p>
      <w:pPr>
        <w:pStyle w:val="ListNumber"/>
        <w:keepLines/>
        <w:numPr>
          <w:ilvl w:val="0"/>
          <w:numId w:val="10"/>
        </w:numPr>
      </w:pPr>
      <w:r>
        <w:t>Preserve the dirty starting checkout and close the expired batch accurately.</w:t>
      </w:r>
    </w:p>
    <w:p>
      <w:pPr>
        <w:pStyle w:val="ListNumber"/>
        <w:keepLines/>
        <w:numPr>
          <w:ilvl w:val="0"/>
          <w:numId w:val="10"/>
        </w:numPr>
      </w:pPr>
      <w:r>
        <w:t>Reconcile existing state, task index and remaining-budget records.</w:t>
      </w:r>
    </w:p>
    <w:p>
      <w:pPr>
        <w:pStyle w:val="ListNumber"/>
        <w:keepLines/>
        <w:numPr>
          <w:ilvl w:val="0"/>
          <w:numId w:val="10"/>
        </w:numPr>
      </w:pPr>
      <w:r>
        <w:t>Obtain actual responses from Controller and independent reviewer through the authorized account route.</w:t>
      </w:r>
    </w:p>
    <w:p>
      <w:pPr>
        <w:pStyle w:val="ListNumber"/>
        <w:keepLines/>
        <w:numPr>
          <w:ilvl w:val="0"/>
          <w:numId w:val="10"/>
        </w:numPr>
      </w:pPr>
      <w:r>
        <w:t>Record model identity honestly: requested identity, reported identity and any unavailable exact version.</w:t>
      </w:r>
    </w:p>
    <w:p>
      <w:pPr>
        <w:pStyle w:val="ListNumber"/>
        <w:keepLines/>
        <w:numPr>
          <w:ilvl w:val="0"/>
          <w:numId w:val="10"/>
        </w:numPr>
      </w:pPr>
      <w:r>
        <w:t>Freeze the new start/deadline, evaluation bindings and budget.</w:t>
      </w:r>
    </w:p>
    <w:p>
      <w:pPr/>
      <w:r>
        <w:t>Pass: working Controller/reviewer responses and no unresolved execution claim.</w:t>
      </w:r>
    </w:p>
    <w:p>
      <w:pPr/>
      <w:r>
        <w:t>Failure: bounded service recovery, then report the exact blocker. No silent model switch, paid fallback or claim that idle agents are working.</w:t>
      </w:r>
    </w:p>
    <w:p>
      <w:pPr>
        <w:pStyle w:val="Heading2"/>
      </w:pPr>
      <w:r>
        <w:t>P1 — Complete the shared candidate entry</w:t>
      </w:r>
    </w:p>
    <w:p>
      <w:pPr>
        <w:keepNext/>
      </w:pPr>
      <w:r>
        <w:t>Owner: Implementer</w:t>
      </w:r>
    </w:p>
    <w:p>
      <w:pPr>
        <w:keepNext/>
      </w:pPr>
      <w:r>
        <w:t>Independent verifier: Reviewer</w:t>
      </w:r>
    </w:p>
    <w:p>
      <w:pPr>
        <w:keepNext/>
      </w:pPr>
      <w:r>
        <w:t>Target: minutes 10–55</w:t>
      </w:r>
    </w:p>
    <w:p>
      <w:pPr/>
      <w:r>
        <w:t xml:space="preserve">Complete the existing </w:t>
      </w:r>
      <w:hyperlink r:id="rId9">
        <w:r>
          <w:rPr>
            <w:color w:val="000000"/>
            <w:u w:val="single"/>
          </w:rPr>
          <w:t>candidate adapter</w:t>
        </w:r>
      </w:hyperlink>
      <w:r>
        <w:t>, with its focused tests.</w:t>
      </w:r>
    </w:p>
    <w:p>
      <w:pPr>
        <w:keepNext/>
      </w:pPr>
      <w:r>
        <w:t>Required checks:</w:t>
      </w:r>
    </w:p>
    <w:p>
      <w:pPr>
        <w:pStyle w:val="ListBullet"/>
        <w:keepLines/>
      </w:pPr>
      <w:r>
        <w:t>Correct source, contract, callback and parent bindings.</w:t>
      </w:r>
    </w:p>
    <w:p>
      <w:pPr>
        <w:pStyle w:val="ListBullet"/>
        <w:keepLines/>
      </w:pPr>
      <w:r>
        <w:t>Rejection of changed or malformed bindings.</w:t>
      </w:r>
    </w:p>
    <w:p>
      <w:pPr>
        <w:pStyle w:val="ListBullet"/>
        <w:keepLines/>
      </w:pPr>
      <w:r>
        <w:t>Exact population, exclusions, folds and causal-input preservation.</w:t>
      </w:r>
    </w:p>
    <w:p>
      <w:pPr>
        <w:pStyle w:val="ListBullet"/>
        <w:keepLines/>
      </w:pPr>
      <w:r>
        <w:t>Truthful partial-failure records.</w:t>
      </w:r>
    </w:p>
    <w:p>
      <w:pPr>
        <w:pStyle w:val="ListBullet"/>
        <w:keepLines/>
      </w:pPr>
      <w:r>
        <w:t>Saved-state replay without fitting.</w:t>
      </w:r>
    </w:p>
    <w:p>
      <w:pPr>
        <w:pStyle w:val="ListBullet"/>
        <w:keepLines/>
      </w:pPr>
      <w:r>
        <w:t>Exclusive output directories and no historical overwrite.</w:t>
      </w:r>
    </w:p>
    <w:p>
      <w:pPr/>
      <w:r>
        <w:t>Then conduct one unchanged C7 parity run, costing one attempt and four fits.</w:t>
      </w:r>
    </w:p>
    <w:p>
      <w:pPr/>
      <w:r>
        <w:t>Pass: exact reproduction of accepted C7 predictions, primitive states and scoring under the existing parity contract.</w:t>
      </w:r>
    </w:p>
    <w:p>
      <w:pPr/>
      <w:r>
        <w:t>Failure: preserve the discrepancy and diagnose it. Do not loosen tolerances after observing results.</w:t>
      </w:r>
    </w:p>
    <w:p>
      <w:pPr/>
      <w:r>
        <w:t>Claim earned: reusable harness capability, not forecasting improvement.</w:t>
      </w:r>
    </w:p>
    <w:p>
      <w:pPr>
        <w:pStyle w:val="Heading2"/>
      </w:pPr>
      <w:r>
        <w:t>P2 — Execute D1 through the real worker</w:t>
      </w:r>
    </w:p>
    <w:p>
      <w:pPr>
        <w:keepNext/>
      </w:pPr>
      <w:r>
        <w:t>Owner: Implementer + Supervisor</w:t>
      </w:r>
    </w:p>
    <w:p>
      <w:pPr>
        <w:keepNext/>
      </w:pPr>
      <w:r>
        <w:t>Independent verifier: Reviewer</w:t>
      </w:r>
    </w:p>
    <w:p>
      <w:pPr>
        <w:keepNext/>
      </w:pPr>
      <w:r>
        <w:t>Target: first scorecard around minute 90</w:t>
      </w:r>
    </w:p>
    <w:p>
      <w:pPr/>
      <w:r>
        <w:t xml:space="preserve">Preserve the existing </w:t>
      </w:r>
      <w:hyperlink r:id="rId10">
        <w:r>
          <w:rPr>
            <w:color w:val="000000"/>
            <w:u w:val="single"/>
          </w:rPr>
          <w:t>D1 scientific implementation</w:t>
        </w:r>
      </w:hyperlink>
      <w:r>
        <w:t>.</w:t>
      </w:r>
    </w:p>
    <w:p>
      <w:pPr/>
      <w:r>
        <w:t>Add a thin entry module supplying the reviewed binding. Create a fresh operational envelope; do not revive the expired deadline or rewrite the old scientific contract.</w:t>
      </w:r>
    </w:p>
    <w:p>
      <w:pPr/>
      <w:r>
        <w:t>Verify the exact worker command end to end, then execute D1 once.</w:t>
      </w:r>
    </w:p>
    <w:p>
      <w:pPr>
        <w:keepNext/>
      </w:pPr>
      <w:r>
        <w:t>Outputs:</w:t>
      </w:r>
    </w:p>
    <w:p>
      <w:pPr>
        <w:pStyle w:val="ListBullet"/>
        <w:keepLines/>
      </w:pPr>
      <w:r>
        <w:t>Four fit records and 87 keyed predictions, or a truthful failure.</w:t>
      </w:r>
    </w:p>
    <w:p>
      <w:pPr>
        <w:pStyle w:val="ListBullet"/>
        <w:keepLines/>
      </w:pPr>
      <w:r>
        <w:t>Comparisons against actual parent C7, market, ordinary reference and v0.</w:t>
      </w:r>
    </w:p>
    <w:p>
      <w:pPr>
        <w:pStyle w:val="ListBullet"/>
        <w:keepLines/>
      </w:pPr>
      <w:r>
        <w:t>Four-block results, calibration and uncertainty.</w:t>
      </w:r>
    </w:p>
    <w:p>
      <w:pPr>
        <w:pStyle w:val="ListBullet"/>
        <w:keepLines/>
      </w:pPr>
      <w:r>
        <w:t>Independent result verification.</w:t>
      </w:r>
    </w:p>
    <w:p>
      <w:pPr>
        <w:pStyle w:val="ListBullet"/>
        <w:keepLines/>
      </w:pPr>
      <w:r>
        <w:t>Controller interpretation and a concrete next decision.</w:t>
      </w:r>
    </w:p>
    <w:p>
      <w:pPr/>
      <w:r>
        <w:t>Pass: a valid scorecard and reviewed feedback delivered to the Controller.</w:t>
      </w:r>
    </w:p>
    <w:p>
      <w:pPr/>
      <w:r>
        <w:t>A negative score is a scientific result—not a batch stop condition.</w:t>
      </w:r>
    </w:p>
    <w:p>
      <w:pPr>
        <w:pStyle w:val="Heading2"/>
      </w:pPr>
      <w:r>
        <w:t>P3 — Add the missing execution-and-feedback coordinator</w:t>
      </w:r>
    </w:p>
    <w:p>
      <w:pPr>
        <w:keepNext/>
      </w:pPr>
      <w:r>
        <w:t>Owner: Implementer; Supervisor integrates</w:t>
      </w:r>
    </w:p>
    <w:p>
      <w:pPr>
        <w:keepNext/>
      </w:pPr>
      <w:r>
        <w:t>Target: ready for subsequent experiments, approximately minutes 90–150</w:t>
      </w:r>
    </w:p>
    <w:p>
      <w:pPr/>
      <w:r>
        <w:t xml:space="preserve">Reuse the existing </w:t>
      </w:r>
      <w:hyperlink r:id="rId11">
        <w:r>
          <w:rPr>
            <w:color w:val="000000"/>
            <w:u w:val="single"/>
          </w:rPr>
          <w:t>recorder</w:t>
        </w:r>
      </w:hyperlink>
      <w:r>
        <w:t xml:space="preserve"> and </w:t>
      </w:r>
      <w:hyperlink r:id="rId12">
        <w:r>
          <w:rPr>
            <w:color w:val="000000"/>
            <w:u w:val="single"/>
          </w:rPr>
          <w:t>worker</w:t>
        </w:r>
      </w:hyperlink>
      <w:r>
        <w:t>.</w:t>
      </w:r>
    </w:p>
    <w:p>
      <w:pPr>
        <w:keepNext/>
      </w:pPr>
      <w:r>
        <w:t>Add one small coordinator, developed in separately checked increments:</w:t>
      </w:r>
    </w:p>
    <w:p>
      <w:pPr>
        <w:pStyle w:val="ListNumber"/>
        <w:keepLines/>
        <w:numPr>
          <w:ilvl w:val="0"/>
          <w:numId w:val="11"/>
        </w:numPr>
      </w:pPr>
      <w:r>
        <w:t>Dispatch and feedback: actually invoke the verified Controller route; deliver numerical results, failures and artifact references.</w:t>
      </w:r>
    </w:p>
    <w:p>
      <w:pPr>
        <w:pStyle w:val="ListNumber"/>
        <w:keepLines/>
        <w:numPr>
          <w:ilvl w:val="0"/>
          <w:numId w:val="11"/>
        </w:numPr>
      </w:pPr>
      <w:r>
        <w:t>Recovery: persist execution identity, review status and feedback acknowledgement.</w:t>
      </w:r>
    </w:p>
    <w:p>
      <w:pPr>
        <w:pStyle w:val="ListNumber"/>
        <w:keepLines/>
        <w:numPr>
          <w:ilvl w:val="0"/>
          <w:numId w:val="11"/>
        </w:numPr>
      </w:pPr>
      <w:r>
        <w:t>Global limits: enforce the shared attempt, fit, concurrency and deadline ceilings across all branches.</w:t>
      </w:r>
    </w:p>
    <w:p>
      <w:pPr>
        <w:keepNext/>
      </w:pPr>
      <w:r>
        <w:t>The required loop is:</w:t>
      </w:r>
    </w:p>
    <w:p>
      <w:pPr/>
      <w:r>
        <w:t>Controller proposal → implementation → review → execution → independent measurement → Controller feedback → next selection.</w:t>
      </w:r>
    </w:p>
    <w:p>
      <w:pPr/>
      <w:r>
        <w:t>A Python queue without a functioning model consumer does not pass.</w:t>
      </w:r>
    </w:p>
    <w:p>
      <w:pPr>
        <w:keepNext/>
      </w:pPr>
      <w:r>
        <w:t>Recovery tests must cover interruption:</w:t>
      </w:r>
    </w:p>
    <w:p>
      <w:pPr>
        <w:pStyle w:val="ListBullet"/>
        <w:keepLines/>
      </w:pPr>
      <w:r>
        <w:t>After execution reservation.</w:t>
      </w:r>
    </w:p>
    <w:p>
      <w:pPr>
        <w:pStyle w:val="ListBullet"/>
        <w:keepLines/>
      </w:pPr>
      <w:r>
        <w:t>During a child process.</w:t>
      </w:r>
    </w:p>
    <w:p>
      <w:pPr>
        <w:pStyle w:val="ListBullet"/>
        <w:keepLines/>
      </w:pPr>
      <w:r>
        <w:t>After outputs exist but before review.</w:t>
      </w:r>
    </w:p>
    <w:p>
      <w:pPr>
        <w:pStyle w:val="ListBullet"/>
        <w:keepLines/>
      </w:pPr>
      <w:r>
        <w:t>After review but before feedback acknowledgement.</w:t>
      </w:r>
    </w:p>
    <w:p>
      <w:pPr/>
      <w:r>
        <w:t>Pass: no duplicate training, lost completed result, overwritten artifact or budget reset.</w:t>
      </w:r>
    </w:p>
    <w:p>
      <w:pPr/>
      <w:r>
        <w:t>The first D1 run may require Supervisor-operated handoffs. Those interventions will be reported; they do not count as proof of unattended operation.</w:t>
      </w:r>
    </w:p>
    <w:p>
      <w:pPr>
        <w:pStyle w:val="Heading2"/>
      </w:pPr>
      <w:r>
        <w:t>P4 — Complete feedback-dependent prediction experiments</w:t>
      </w:r>
    </w:p>
    <w:p>
      <w:pPr>
        <w:keepNext/>
      </w:pPr>
      <w:r>
        <w:t>Scientific owner: Controller</w:t>
      </w:r>
    </w:p>
    <w:p>
      <w:pPr>
        <w:keepNext/>
      </w:pPr>
      <w:r>
        <w:t>Execution owner: Supervisor</w:t>
      </w:r>
    </w:p>
    <w:p>
      <w:pPr>
        <w:keepNext/>
      </w:pPr>
      <w:r>
        <w:t>Remaining window: approximately minutes 150–220</w:t>
      </w:r>
    </w:p>
    <w:p>
      <w:pPr/>
      <w:r>
        <w:t>After each verified result, the Controller decides what to investigate next. We will not preselect three unrelated models and call their parallel execution iteration.</w:t>
      </w:r>
    </w:p>
    <w:p>
      <w:pPr/>
      <w:r>
        <w:t>Aim for D1 plus two subsequent candidates whose choices explicitly depend on prior accepted evidence.</w:t>
      </w:r>
    </w:p>
    <w:p>
      <w:pPr>
        <w:keepNext/>
      </w:pPr>
      <w:r>
        <w:t>For each selection, record:</w:t>
      </w:r>
    </w:p>
    <w:p>
      <w:pPr>
        <w:pStyle w:val="ListBullet"/>
        <w:keepLines/>
      </w:pPr>
      <w:r>
        <w:t>What observation triggered it.</w:t>
      </w:r>
    </w:p>
    <w:p>
      <w:pPr>
        <w:pStyle w:val="ListBullet"/>
        <w:keepLines/>
      </w:pPr>
      <w:r>
        <w:t>Actual research parent.</w:t>
      </w:r>
    </w:p>
    <w:p>
      <w:pPr>
        <w:pStyle w:val="ListBullet"/>
        <w:keepLines/>
      </w:pPr>
      <w:r>
        <w:t>What changes and why.</w:t>
      </w:r>
    </w:p>
    <w:p>
      <w:pPr>
        <w:pStyle w:val="ListBullet"/>
        <w:keepLines/>
      </w:pPr>
      <w:r>
        <w:t>Expected discriminating evidence.</w:t>
      </w:r>
    </w:p>
    <w:p>
      <w:pPr>
        <w:pStyle w:val="ListBullet"/>
        <w:keepLines/>
      </w:pPr>
      <w:r>
        <w:t>Fit/time allocation.</w:t>
      </w:r>
    </w:p>
    <w:p>
      <w:pPr>
        <w:pStyle w:val="ListBullet"/>
        <w:keepLines/>
      </w:pPr>
      <w:r>
        <w:t>Result and subsequent decision.</w:t>
      </w:r>
    </w:p>
    <w:p>
      <w:pPr/>
      <w:r>
        <w:t>Review can overlap other implementation. Completed feedback returns immediately; it does not wait for an unrelated branch.</w:t>
      </w:r>
    </w:p>
    <w:p>
      <w:pPr>
        <w:pStyle w:val="Heading1"/>
      </w:pPr>
      <w:r>
        <w:t>6. Active branches and research credit</w:t>
      </w:r>
    </w:p>
    <w:p>
      <w:pPr>
        <w:keepNext/>
      </w:pPr>
      <w:r>
        <w:t>Start from the existing Controller-selected pool, subject to its fresh confirmation:</w:t>
      </w:r>
    </w:p>
    <w:p>
      <w:pPr>
        <w:pStyle w:val="ListNumber"/>
        <w:keepLines/>
        <w:numPr>
          <w:ilvl w:val="0"/>
          <w:numId w:val="12"/>
        </w:numPr>
      </w:pPr>
      <w:r>
        <w:t>C7 calibration → conditional possession pressure: current D1 question.</w:t>
      </w:r>
    </w:p>
    <w:p>
      <w:pPr>
        <w:pStyle w:val="ListNumber"/>
        <w:keepLines/>
        <w:numPr>
          <w:ilvl w:val="0"/>
          <w:numId w:val="12"/>
        </w:numPr>
      </w:pPr>
      <w:r>
        <w:t>B3 nonlinear causal-state route: distinct representation questions remain unresolved.</w:t>
      </w:r>
    </w:p>
    <w:p>
      <w:pPr>
        <w:pStyle w:val="ListNumber"/>
        <w:keepLines/>
        <w:numPr>
          <w:ilvl w:val="0"/>
          <w:numId w:val="12"/>
        </w:numPr>
      </w:pPr>
      <w:r>
        <w:t>A1 market-observation reliability: distinct conditional-calibration questions remain possible.</w:t>
      </w:r>
    </w:p>
    <w:p>
      <w:pPr/>
      <w:r>
        <w:t>These are research priorities, not three mandatory experiments.</w:t>
      </w:r>
    </w:p>
    <w:p>
      <w:pPr>
        <w:keepNext/>
      </w:pPr>
      <w:r>
        <w:t>After every accepted result, reselect 2–3 branches globally, considering:</w:t>
      </w:r>
    </w:p>
    <w:p>
      <w:pPr>
        <w:pStyle w:val="ListBullet"/>
        <w:keepLines/>
      </w:pPr>
      <w:r>
        <w:t>Current evidence and parent improvement.</w:t>
      </w:r>
    </w:p>
    <w:p>
      <w:pPr>
        <w:pStyle w:val="ListBullet"/>
        <w:keepLines/>
      </w:pPr>
      <w:r>
        <w:t>Method diversity.</w:t>
      </w:r>
    </w:p>
    <w:p>
      <w:pPr>
        <w:pStyle w:val="ListBullet"/>
        <w:keepLines/>
      </w:pPr>
      <w:r>
        <w:t>A concrete untested hypothesis.</w:t>
      </w:r>
    </w:p>
    <w:p>
      <w:pPr>
        <w:pStyle w:val="ListBullet"/>
        <w:keepLines/>
      </w:pPr>
      <w:r>
        <w:t>Expected cost.</w:t>
      </w:r>
    </w:p>
    <w:p>
      <w:pPr>
        <w:pStyle w:val="ListBullet"/>
        <w:keepLines/>
      </w:pPr>
      <w:r>
        <w:t>Verified research credit.</w:t>
      </w:r>
    </w:p>
    <w:p>
      <w:pPr>
        <w:keepNext/>
      </w:pPr>
      <w:r>
        <w:t>Credit remains:</w:t>
      </w:r>
    </w:p>
    <w:p>
      <w:pPr>
        <w:pStyle w:val="ListBullet"/>
        <w:keepLines/>
      </w:pPr>
      <w:r>
        <w:t>0: activity without new checkable evidence.</w:t>
      </w:r>
    </w:p>
    <w:p>
      <w:pPr>
        <w:pStyle w:val="ListBullet"/>
        <w:keepLines/>
      </w:pPr>
      <w:r>
        <w:t>1: relevant, nonduplicate finding.</w:t>
      </w:r>
    </w:p>
    <w:p>
      <w:pPr>
        <w:pStyle w:val="ListBullet"/>
        <w:keepLines/>
      </w:pPr>
      <w:r>
        <w:t>2: valid test of a key hypothesis or demonstrated reusable capability.</w:t>
      </w:r>
    </w:p>
    <w:p>
      <w:pPr/>
      <w:r>
        <w:t>Supervisor verifies the evidence. Credit influences exploration allocation, never Brier or KEEP.</w:t>
      </w:r>
    </w:p>
    <w:p>
      <w:pPr/>
      <w:r>
        <w:t>Roughly two of six slots can serve distinct exploratory questions, reflecting the adjustable 30% guideline. This is not a mandatory quota. Consumed historical follow-up allowances do not reset.</w:t>
      </w:r>
    </w:p>
    <w:p>
      <w:pPr>
        <w:pStyle w:val="Heading1"/>
      </w:pPr>
      <w:r>
        <w:t>7. Demonstrate research-process change without forcing it</w:t>
      </w:r>
    </w:p>
    <w:p>
      <w:pPr/>
      <w:r>
        <w:t>Once the execution loop works, the Controller may propose one small versioned researcher-policy change responding to an observed bottleneck.</w:t>
      </w:r>
    </w:p>
    <w:p>
      <w:pPr>
        <w:keepNext/>
      </w:pPr>
      <w:r>
        <w:t>To qualify:</w:t>
      </w:r>
    </w:p>
    <w:p>
      <w:pPr>
        <w:pStyle w:val="ListNumber"/>
        <w:keepLines/>
        <w:numPr>
          <w:ilvl w:val="0"/>
          <w:numId w:val="13"/>
        </w:numPr>
      </w:pPr>
      <w:r>
        <w:t>The Controller authors the proposal.</w:t>
      </w:r>
    </w:p>
    <w:p>
      <w:pPr>
        <w:pStyle w:val="ListNumber"/>
        <w:keepLines/>
        <w:numPr>
          <w:ilvl w:val="0"/>
          <w:numId w:val="13"/>
        </w:numPr>
      </w:pPr>
      <w:r>
        <w:t>R0 and R1 are frozen.</w:t>
      </w:r>
    </w:p>
    <w:p>
      <w:pPr>
        <w:pStyle w:val="ListNumber"/>
        <w:keepLines/>
        <w:numPr>
          <w:ilvl w:val="0"/>
          <w:numId w:val="13"/>
        </w:numPr>
      </w:pPr>
      <w:r>
        <w:t>Expected benefit is stated before testing.</w:t>
      </w:r>
    </w:p>
    <w:p>
      <w:pPr>
        <w:pStyle w:val="ListNumber"/>
        <w:keepLines/>
        <w:numPr>
          <w:ilvl w:val="0"/>
          <w:numId w:val="13"/>
        </w:numPr>
      </w:pPr>
      <w:r>
        <w:t>Same initial evidence, model, tools and permissions are used for matched checks.</w:t>
      </w:r>
    </w:p>
    <w:p>
      <w:pPr>
        <w:pStyle w:val="ListNumber"/>
        <w:keepLines/>
        <w:numPr>
          <w:ilvl w:val="0"/>
          <w:numId w:val="13"/>
        </w:numPr>
      </w:pPr>
      <w:r>
        <w:t>The accepted R1 is demonstrably loaded into a subsequent real decision.</w:t>
      </w:r>
    </w:p>
    <w:p>
      <w:pPr>
        <w:pStyle w:val="ListNumber"/>
        <w:keepLines/>
        <w:numPr>
          <w:ilvl w:val="0"/>
          <w:numId w:val="13"/>
        </w:numPr>
      </w:pPr>
      <w:r>
        <w:t>Its actual benefit—or lack of benefit—is measured.</w:t>
      </w:r>
    </w:p>
    <w:p>
      <w:pPr/>
      <w:r>
        <w:t>Possible measures include fewer repeated invalid proposals, less manual reconstruction, faster verified feedback use or more valid experiments per budget.</w:t>
      </w:r>
    </w:p>
    <w:p>
      <w:pPr/>
      <w:r>
        <w:t>Ordinary memory accumulation is not automatically an R change. These human-approved instruction changes and Supervisor repairs are not autonomous self-evolution.</w:t>
      </w:r>
    </w:p>
    <w:p>
      <w:pPr/>
      <w:r>
        <w:t>Do not implement a policy merely to produce an “evolution” event. If the old policy already performs equally well, report no demonstrated benefit and continue prediction research.</w:t>
      </w:r>
    </w:p>
    <w:p>
      <w:pPr>
        <w:pStyle w:val="Heading1"/>
      </w:pPr>
      <w:r>
        <w:t>8. Smallness, parallelism and failure handling</w:t>
      </w:r>
    </w:p>
    <w:p>
      <w:pPr/>
      <w:r>
        <w:t>Use four available agent slots: Supervisor, Controller, implementer and independent reviewer. Rotate roles only when tasks finish; no claim that eight agents ran simultaneously.</w:t>
      </w:r>
    </w:p>
    <w:p>
      <w:pPr>
        <w:keepNext/>
      </w:pPr>
      <w:r>
        <w:t>For every source checkpoint:</w:t>
      </w:r>
    </w:p>
    <w:p>
      <w:pPr>
        <w:pStyle w:val="ListBullet"/>
        <w:keepLines/>
      </w:pPr>
      <w:r>
        <w:t>One named C, H or R component.</w:t>
      </w:r>
    </w:p>
    <w:p>
      <w:pPr>
        <w:pStyle w:val="ListBullet"/>
        <w:keepLines/>
      </w:pPr>
      <w:r>
        <w:t>Exact allowed files, fixed identities and rollback parent.</w:t>
      </w:r>
    </w:p>
    <w:p>
      <w:pPr>
        <w:pStyle w:val="ListBullet"/>
        <w:keepLines/>
      </w:pPr>
      <w:r>
        <w:t>Focused tests first; full relevant suite after integration stabilizes.</w:t>
      </w:r>
    </w:p>
    <w:p>
      <w:pPr>
        <w:pStyle w:val="ListBullet"/>
        <w:keepLines/>
      </w:pPr>
      <w:r>
        <w:t>Independent review of the integrated snapshot.</w:t>
      </w:r>
    </w:p>
    <w:p>
      <w:pPr>
        <w:pStyle w:val="ListBullet"/>
        <w:keepLines/>
      </w:pPr>
      <w:r>
        <w:t>Local source checkpoint before execution and result checkpoint afterward.</w:t>
      </w:r>
    </w:p>
    <w:p>
      <w:pPr/>
      <w:r>
        <w:t>Changes exceeding roughly 200 lines or two production modules require splitting or explicit inseparability review. Line count alone is not safety evidence.</w:t>
      </w:r>
    </w:p>
    <w:p>
      <w:pPr/>
      <w:r>
        <w:t>A repair receives a new version and, if executed, a new attempt. No same-ID relaunch or hidden fallback. The same blocker gets at most two bounded repair steps before that route is paused and alternatives considered.</w:t>
      </w:r>
    </w:p>
    <w:p>
      <w:pPr/>
      <w:r>
        <w:t>At minute 90 without a valid new scorecard, report the missed milestone and exact dependency. Do not add more infrastructure to conceal the delay. If no safe executable alternative remains after bounded repair, stop and report the blocker.</w:t>
      </w:r>
    </w:p>
    <w:p>
      <w:pPr/>
      <w:r>
        <w:t>Stop new work 15 minutes before the deadline. Running processes remain bounded by the hard cutoff.</w:t>
      </w:r>
    </w:p>
    <w:p>
      <w:pPr>
        <w:pStyle w:val="Heading1"/>
      </w:pPr>
      <w:r>
        <w:t>9. Deliverables and acceptance</w:t>
      </w:r>
    </w:p>
    <w:p>
      <w:pPr>
        <w:keepNext/>
      </w:pPr>
      <w:r>
        <w:t>At closure, provide:</w:t>
      </w:r>
    </w:p>
    <w:p>
      <w:pPr>
        <w:pStyle w:val="ListBullet"/>
        <w:keepLines/>
      </w:pPr>
      <w:r>
        <w:t>One scorecard table with market, parent, ordinary reference and candidate results.</w:t>
      </w:r>
    </w:p>
    <w:p>
      <w:pPr>
        <w:pStyle w:val="ListBullet"/>
        <w:keepLines/>
      </w:pPr>
      <w:r>
        <w:t>A verifiable evidence-to-next-choice trajectory.</w:t>
      </w:r>
    </w:p>
    <w:p>
      <w:pPr>
        <w:pStyle w:val="ListBullet"/>
        <w:keepLines/>
      </w:pPr>
      <w:r>
        <w:t>Active-pool snapshots and reasons after each result.</w:t>
      </w:r>
    </w:p>
    <w:p>
      <w:pPr>
        <w:pStyle w:val="ListBullet"/>
        <w:keepLines/>
      </w:pPr>
      <w:r>
        <w:t>Separate C/H/R changes, authors and measured effects.</w:t>
      </w:r>
    </w:p>
    <w:p>
      <w:pPr>
        <w:pStyle w:val="ListBullet"/>
        <w:keepLines/>
      </w:pPr>
      <w:r>
        <w:t>Fits, attempts, wall time, sampled memory, model usage and manual interventions.</w:t>
      </w:r>
    </w:p>
    <w:p>
      <w:pPr>
        <w:pStyle w:val="ListBullet"/>
        <w:keepLines/>
      </w:pPr>
      <w:r>
        <w:t>Failures, recovery outcomes and unresolved claims.</w:t>
      </w:r>
    </w:p>
    <w:p>
      <w:pPr/>
      <w:r>
        <w:t>The batch passes execution acceptance only if real candidate training, verified feedback and a subsequent feedback-selected experiment occur. Tests or documents alone do not pass.</w:t>
      </w:r>
    </w:p>
    <w:p>
      <w:pPr/>
      <w:r>
        <w:t>Prediction improvement is reported independently. Research-process improvement requires its own demonstrated effect.</w:t>
      </w:r>
    </w:p>
    <w:p>
      <w:pPr/>
      <w:r>
        <w:t>Equal-budget fixed-versus-evolving superiority remains a later experiment: once this loop is reliable, compare two capable processes with the same model, starting memory, tools, branch capacity and budget. The fixed arm can still remember, search and iterate; only process modification differs. One paired pilot establishes feasibility, not superiority.</w:t>
      </w:r>
    </w:p>
    <w:p>
      <w:pPr>
        <w:pStyle w:val="Heading1"/>
      </w:pPr>
      <w:r>
        <w:t>Recommended approval scope</w:t>
      </w:r>
    </w:p>
    <w:p>
      <w:pPr/>
      <w:r>
        <w:t>Approve the fresh four-hour/six-attempt batch, minimal execution repairs, separate development feedback and optional evidence-driven R trial. Keep the scorer, historical KEEP rule and protected-data boundaries unchanged.</w:t>
      </w:r>
    </w:p>
    <w:p>
      <w:pPr/>
      <w:r>
        <w:t>That is the complete proposed scope. I will wait for your review before executing.</w:t>
      </w:r>
    </w:p>
    <w:p>
      <w:r>
        <w:br w:type="page"/>
      </w:r>
    </w:p>
    <w:p>
      <w:pPr>
        <w:pStyle w:val="Heading1"/>
      </w:pPr>
      <w:r>
        <w:t>Addendum Research Continuation and Accumulation</w:t>
      </w:r>
    </w:p>
    <w:p>
      <w:pPr>
        <w:spacing w:after="160"/>
      </w:pPr>
      <w:r>
        <w:t>Added October 5 2026</w:t>
      </w:r>
    </w:p>
    <w:p>
      <w:pPr/>
      <w:r>
        <w:t>Yes—four additions I think matter:</w:t>
      </w:r>
    </w:p>
    <w:p>
      <w:pPr>
        <w:pStyle w:val="Heading2"/>
      </w:pPr>
      <w:r>
        <w:t>1. Don’t equate evolution with rewriting researcher code.</w:t>
      </w:r>
    </w:p>
    <w:p>
      <w:pPr/>
      <w:r>
        <w:t>Accumulated memory, better experiment selection and successful reuse of negative findings are mechanisms worth testing. We should ask whether an earlier lesson improves a later decision—not force an R modification just to claim co-evolution.</w:t>
      </w:r>
    </w:p>
    <w:p>
      <w:pPr>
        <w:pStyle w:val="Heading2"/>
      </w:pPr>
      <w:r>
        <w:t>2. Measure how much human coordination remains.</w:t>
      </w:r>
    </w:p>
    <w:p>
      <w:pPr/>
      <w:r>
        <w:t>Record, in the existing logs, who supplied the hypothesis, data source, implementation repair and continuation decision. Track manual interventions and time to a valid experiment. Otherwise, increasingly elaborate Supervisor work could look like increasingly autonomous research.</w:t>
      </w:r>
    </w:p>
    <w:p>
      <w:pPr>
        <w:pStyle w:val="Heading2"/>
      </w:pPr>
      <w:r>
        <w:t>3. The current research scope is narrower than “open exploration.”</w:t>
      </w:r>
    </w:p>
    <w:p>
      <w:pPr/>
      <w:r>
        <w:t>The reviewed plan keeps new literature retrieval and external data acquisition closed. It can demonstrate autonomous experimentation on existing information, but not autonomous discovery of new sources. Once execution works, we should consider a separately authorized, bounded exploration capability—and measure whether anything it finds becomes usable.</w:t>
      </w:r>
    </w:p>
    <w:p>
      <w:pPr>
        <w:pStyle w:val="Heading2"/>
      </w:pPr>
      <w:r>
        <w:t>4. A working loop still needs a research-process baseline.</w:t>
      </w:r>
    </w:p>
    <w:p>
      <w:pPr/>
      <w:r>
        <w:t>After repairing execution, compare fixed versus evolving research processes with the same base model, starting information, permissions and total budget. Include implementation and review overhead—not just fitting time. Measure prediction quality, valid experiments, repeated mistakes, interventions and demonstrated reuse across multiple trajectories.</w:t>
      </w:r>
    </w:p>
    <w:p>
      <w:pPr/>
      <w:r>
        <w:rPr>
          <w:b/>
        </w:rPr>
        <w:t>My biggest addition: the next milestone should demonstrate both continuation and accumulation. It must execute another experiment automatically, and show something useful from the previous experiment affecting that next step.</w:t>
      </w:r>
    </w:p>
    <w:p>
      <w:pPr/>
      <w:r>
        <w:t>That gives us a sensible progression: functioning autonomy → demonstrated reuse → measured researcher improvement → independently confirmed prediction gains.</w:t>
      </w:r>
    </w:p>
    <w:sectPr w:rsidR="00FC693F" w:rsidRPr="0006063C" w:rsidSect="00034616">
      <w:footerReference w:type="default" r:id="rId13"/>
      <w:pgSz w:w="12240" w:h="15840"/>
      <w:pgMar w:top="1008" w:right="1152" w:bottom="1008" w:left="1152"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decimal"/>
      <w:lvlText w:val="%1."/>
      <w:lvlJc w:val="left"/>
      <w:pPr>
        <w:ind w:left="360" w:hanging="360"/>
      </w:pPr>
    </w:lvl>
  </w:abstractNum>
  <w:num w:numId="10">
    <w:abstractNumId w:val="9"/>
  </w:num>
  <w:abstractNum w:abstractNumId="10">
    <w:lvl w:ilvl="0">
      <w:start w:val="1"/>
      <w:numFmt w:val="decimal"/>
      <w:lvlText w:val="%1."/>
      <w:lvlJc w:val="left"/>
      <w:pPr>
        <w:ind w:left="360" w:hanging="360"/>
      </w:pPr>
    </w:lvl>
  </w:abstractNum>
  <w:num w:numId="11">
    <w:abstractNumId w:val="10"/>
  </w:num>
  <w:abstractNum w:abstractNumId="11">
    <w:lvl w:ilvl="0">
      <w:start w:val="1"/>
      <w:numFmt w:val="decimal"/>
      <w:lvlText w:val="%1."/>
      <w:lvlJc w:val="left"/>
      <w:pPr>
        <w:ind w:left="360" w:hanging="360"/>
      </w:pPr>
    </w:lvl>
  </w:abstractNum>
  <w:num w:numId="12">
    <w:abstractNumId w:val="11"/>
  </w:num>
  <w:abstractNum w:abstractNumId="12">
    <w:lvl w:ilvl="0">
      <w:start w:val="1"/>
      <w:numFmt w:val="decimal"/>
      <w:lvlText w:val="%1."/>
      <w:lvlJc w:val="left"/>
      <w:pPr>
        <w:ind w:left="360" w:hanging="360"/>
      </w:pPr>
    </w:lvl>
  </w:abstract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4" w:lineRule="auto" w:after="8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00" w:line="254" w:lineRule="auto"/>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widowControl/>
      <w:spacing w:before="200" w:after="100" w:line="254" w:lineRule="auto"/>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200" w:line="254" w:lineRule="auto"/>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line="254" w:lineRule="auto" w:after="80"/>
      <w:ind w:left="360" w:hanging="360"/>
      <w:contextualSpacing/>
    </w:pPr>
    <w:rPr>
      <w:rFonts w:ascii="Calibri" w:hAnsi="Calibri"/>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line="254" w:lineRule="auto" w:after="80"/>
      <w:ind w:left="360" w:hanging="360"/>
      <w:contextualSpacing/>
    </w:pPr>
    <w:rPr>
      <w:rFonts w:ascii="Calibri" w:hAnsi="Calibri"/>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Users/estelle/Developer/market-rsi/research/market_rsi/experiments/nfl_ingame_candidate_evidence_adapter.py" TargetMode="External"/><Relationship Id="rId10" Type="http://schemas.openxmlformats.org/officeDocument/2006/relationships/hyperlink" Target="/Users/estelle/Developer/market-rsi/research/market_rsi/experiments/nfl_ingame_temperature_possession_pressure_joint_offset.py" TargetMode="External"/><Relationship Id="rId11" Type="http://schemas.openxmlformats.org/officeDocument/2006/relationships/hyperlink" Target="/Users/estelle/Developer/market-rsi/research/market_rsi/supervisor_harness/continuous_discovery_batch.py" TargetMode="External"/><Relationship Id="rId12" Type="http://schemas.openxmlformats.org/officeDocument/2006/relationships/hyperlink" Target="/Users/estelle/Developer/market-rsi/research/market_rsi/supervisor_harness/opened_train_discovery_worker.py"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Market RSI repair-and-Discovery plan — for review</dc:title>
  <dc:subject>Original repair and Discovery proposal for review</dc:subject>
  <dc:creator>Market RSI Supervisor</dc:creator>
  <cp:keywords/>
  <dc:description>generated by python-docx</dc:description>
  <cp:lastModifiedBy/>
  <cp:revision>1</cp:revision>
  <dcterms:created xsi:type="dcterms:W3CDTF">2013-12-23T23:15:00Z</dcterms:created>
  <dcterms:modified xsi:type="dcterms:W3CDTF">2013-12-23T23:15:00Z</dcterms:modified>
  <cp:category/>
</cp:coreProperties>
</file>