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rPr>
          <w:b/>
          <w:sz w:val="40"/>
        </w:rPr>
        <w:t>Painel de Dados Abertos do Setor Elétrico — CORE</w:t>
      </w:r>
    </w:p>
    <w:p>
      <w:pPr>
        <w:pStyle w:val="Heading2"/>
        <w:pStyle w:val="MdHeading2"/>
      </w:pPr>
      <w:r>
        <w:rPr>
          <w:i/>
          <w:sz w:val="26"/>
        </w:rPr>
        <w:t>Manual técnico consolidado — versão final para GitHub</w:t>
      </w:r>
    </w:p>
    <w:p>
      <w:pPr>
        <w:pStyle w:val="MdParagraph"/>
      </w:pPr>
      <w:r>
        <w:t xml:space="preserve">O </w:t>
      </w:r>
      <w:r>
        <w:rPr>
          <w:rStyle w:val="MdStrong"/>
          <w:b/>
          <w:bCs/>
        </w:rPr>
        <w:t xml:space="preserve">Painel de Dados Abertos do Setor Elétrico — CORE</w:t>
      </w:r>
      <w:r>
        <w:t xml:space="preserve"> é uma aplicação analítica desenvolvida em Jupyter Notebook para consolidar, tratar, validar e apresentar informações públicas relacionadas à operação, ao mercado, à geração, à transmissão, à hidrologia e ao planejamento do setor elétrico brasileiro.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projeto combina ingestão automatizada de dados públicos, normalização tabular, processamento temporal, indicadores executivos, gráficos interativos, cartões analíticos, filtros, detalhamento por indicador, mecanismos de contingência e exportação de dados. A interface final foi organizada para reproduzir a experiência de um produto corporativo de Business Intelligence, com menu lateral, navegação por módulos, hierarquia visual, status das fontes, visão executiva e áreas especializadas.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solução também disponibiliza módulos independentes para consulta ao </w:t>
      </w:r>
      <w:r>
        <w:rPr>
          <w:rStyle w:val="MdStrong"/>
          <w:b/>
          <w:bCs/>
        </w:rPr>
        <w:t xml:space="preserve">Windy</w:t>
      </w:r>
      <w:r>
        <w:t xml:space="preserve">, </w:t>
      </w:r>
      <w:r>
        <w:rPr>
          <w:rStyle w:val="MdStrong"/>
          <w:b/>
          <w:bCs/>
        </w:rPr>
        <w:t xml:space="preserve">Denergia</w:t>
      </w:r>
      <w:r>
        <w:t xml:space="preserve"> e </w:t>
      </w:r>
      <w:r>
        <w:rPr>
          <w:rStyle w:val="MdStrong"/>
          <w:b/>
          <w:bCs/>
        </w:rPr>
        <w:t xml:space="preserve">CAMMESA</w:t>
      </w:r>
      <w:r>
        <w:t xml:space="preserve">, além de páginas e referências técnicas de </w:t>
      </w:r>
      <w:r>
        <w:rPr>
          <w:rStyle w:val="MdStrong"/>
          <w:b/>
          <w:bCs/>
        </w:rPr>
        <w:t xml:space="preserve">EPE</w:t>
      </w:r>
      <w:r>
        <w:t xml:space="preserve">, </w:t>
      </w:r>
      <w:r>
        <w:rPr>
          <w:rStyle w:val="MdStrong"/>
          <w:b/>
          <w:bCs/>
        </w:rPr>
        <w:t xml:space="preserve">CNPE</w:t>
      </w:r>
      <w:r>
        <w:t xml:space="preserve">, </w:t>
      </w:r>
      <w:r>
        <w:rPr>
          <w:rStyle w:val="MdStrong"/>
          <w:b/>
          <w:bCs/>
        </w:rPr>
        <w:t xml:space="preserve">CMSE</w:t>
      </w:r>
      <w:r>
        <w:t xml:space="preserve"> e </w:t>
      </w:r>
      <w:r>
        <w:rPr>
          <w:rStyle w:val="MdStrong"/>
          <w:b/>
          <w:bCs/>
        </w:rPr>
        <w:t xml:space="preserve">MegaWhat</w:t>
      </w:r>
      <w:r>
        <w:t xml:space="preserve">. Esses módulos externos não substituem a camada de dados do painel; são áreas complementares e isoladas, acessadas por incorporação ou por links oficiais.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Objetivo central:</w:t>
      </w:r>
      <w:r>
        <w:t xml:space="preserve"> transformar fontes públicas heterogêneas em uma camada única de análise operacional e mercadológica, mantendo rastreabilidade da origem dos dados, transparência sobre atualização e capacidade de exportação por indicador.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Visão geral da solução</w:t>
      </w:r>
    </w:p>
    <w:p>
      <w:pPr>
        <w:pStyle w:val="MdParagraph"/>
      </w:pPr>
      <w:r>
        <w:t xml:space="preserve">A arquitetura foi desenhada para separar as responsabilidades de configuração, aquisição, tratamento, visualização e apresentação. A coleta acontece nas células Python de infraestrutura e ingestão; a camada de visualização converte os DataFrames em gráficos Plotly e cards HTML; a célula de apresentação monta a aplicação completa, incorporando o HTML, o CSS, o JavaScript de navegação e os módulos externos.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flowchart TB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A[Catálogos e fontes oficiais] --&gt; B[Resolução de datasets e recursos]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B --&gt; C[HTTP Session com retry e timeouts]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 --&gt; D[Leitura tabular e filtros temporais]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D --&gt; E[DataFrames normalizados]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E --&gt; F[KPIs, variações, frescor e status]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F --&gt; G[Gráficos Plotly e gráfico detalhado de CVU]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E --&gt; H[Exportação CSV e Excel]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G --&gt; I[Cards e painel de detalhes]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I --&gt; J[Dashboard HTML responsivo]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J --&gt; K[Menu lateral e abas]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J --&gt; L[Windy]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J --&gt; M[Denergia]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J --&gt; N[CAMMESA]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J --&gt; O[EPE, CNPE, CMSE e MegaWhat]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camada de dados permanece independente da camada de interface. Dessa forma, mudanças no layout, na navegação ou no estilo dos cards não precisam alterar os conectores, os DataFrames, a lógica de filtragem ou os mecanismos de exportação.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Funcionalidades principais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Categoria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Recursos implementados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Aquisição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Consulta ao catálogo CKAN do ONS, resolução de slugs, leitura de recursos, download via sessão HTTP persistente e integração direta com o PLD médio diário da CCEE.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Confiabilidade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Retry automático, timeouts, cache de metadados e dados, filtro antecipado por período, limites de tamanho e tratamento de falhas por indicador.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Processamento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Identificação de colunas temporais e numéricas, normalização de tipos, ordenação, filtragem por janela, cálculo de KPI recente, variação percentual e verificação de frescor.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Visualização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Gráficos Plotly interativos, gráfico de colunas detalhadas para CVU, tooltips formatados, cores por categoria, resumo de indicadores e painel de detalhe.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Experiência de uso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Login, visão geral, menu lateral, navegação por abas, filtros, atualização por card, seletor de usina no CVU, responsividade e estados de carregamento/contingência.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Exportação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Download individual por card em </w:t>
            </w:r>
            <w:r>
              <w:rPr>
                <w:rStyle w:val="MdStrong"/>
                <w:b/>
                <w:bCs/>
              </w:rPr>
              <w:t xml:space="preserve">CSV</w:t>
            </w:r>
            <w:r>
              <w:t xml:space="preserve"> e </w:t>
            </w:r>
            <w:r>
              <w:rPr>
                <w:rStyle w:val="MdStrong"/>
                <w:b/>
                <w:bCs/>
              </w:rPr>
              <w:t xml:space="preserve">Excel </w:t>
            </w:r>
            <w:r>
              <w:rPr>
                <w:rStyle w:val="MdCode"/>
                <w:b/>
                <w:bCs/>
                <w:u w:val="single"/>
              </w:rPr>
              <w:t xml:space="preserve">.xlsx</w:t>
            </w:r>
            <w:r>
              <w:t xml:space="preserve">, preservando o DataFrame completo utilizado pelo indicador.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Integrações externas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Windy, Denergia, CAMMESA, EPE, CNPE, CMSE e MegaWhat, com módulos independentes e fallback para abertura em nova aba.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Rastreabilidade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Fonte oficial, URL de origem, data/período, status de atualização, indicação de contingência e sinalização de defasagem quando aplicável.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Módulos e navegação</w:t>
      </w:r>
    </w:p>
    <w:p>
      <w:pPr>
        <w:pStyle w:val="MdParagraph"/>
      </w:pPr>
      <w:r>
        <w:t xml:space="preserve">A versão final possui uma navegação unificada com módulos operacionais, mercadológicos, regulatórios, meteorológicos e documentais.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Módulo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Identificador interno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Escopo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Visão Geral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visao-geral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KPIs executivos, resumo dos principais indicadores, card de CVU e visão consolidada do sistema.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Dados 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ons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Indicadores de armazenamento, ENA, carga, CMO, intercâmbios, transmissão, confiabilidade e operação.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Dados CCEE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ccee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PLD médio diário e referências públicas de mercado e contabilização.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Dados ANEEL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aneel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Bases abertas, indicadores regulatórios, continuidade, CDE, tarifas e referências institucionais.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Meteorologia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meteorologia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Mapa meteorológico Windy incorporado, com referência territorial, camadas e acesso ao portal original.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Denergia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denergia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Acesso integrado ao portal Denergia para índices, curva forward, modulação e PLD.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CAMMESA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cammesa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Portal oficial CAMMESA para operação, programação, renováveis, MATER, relatórios e documentos.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EPE Elétrica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epe-elec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Consumo, mercado de distribuição, ferramentas e referências de energia elétrica.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EPE Planejamento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epe-plan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Publicações, planos, estudos, anuários e ferramentas de planejamento energético.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EPE Petróleo/Gás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epe-oil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Petróleo, gás, biocombustíveis e abastecimento de derivados.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EPE Transição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epe-trans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Transição energética, inovação e referências correlatas.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CNPE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cnpe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Resoluções, atos e referências do Conselho Nacional de Política Energética.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CMSE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cmse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Atas, documentos e referências do Comitê de Monitoramento do Setor Elétrico.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Minuto MegaWhat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megawhat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Acesso à publicação e aos podcasts do Minuto MegaWhat.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Detalhamento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detalhe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Visão ampliada do indicador selecionado, com gráfico, metadados e informações complementares.</w:t>
            </w:r>
          </w:p>
        </w:tc>
      </w:tr>
    </w:tbl>
    <w:p>
      <w:pPr>
        <w:pStyle w:val="MdParagraph"/>
      </w:pPr>
      <w:r>
        <w:t xml:space="preserve">O mecanismo de navegação utiliza atributos </w:t>
      </w:r>
      <w:r>
        <w:rPr>
          <w:rStyle w:val="MdCode"/>
          <w:u w:val="single"/>
        </w:rPr>
        <w:t xml:space="preserve">data-tab</w:t>
      </w:r>
      <w:r>
        <w:t xml:space="preserve">, painéis com identificadores </w:t>
      </w:r>
      <w:r>
        <w:rPr>
          <w:rStyle w:val="MdCode"/>
          <w:u w:val="single"/>
        </w:rPr>
        <w:t xml:space="preserve">painel-*</w:t>
      </w:r>
      <w:r>
        <w:t xml:space="preserve"> e uma função central de ativação de abas. O conteúdo de cada painel é mantido fora do contêiner de detalhes para impedir que uma troca de aba oculte inadvertidamente o módulo selecionado.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Fontes de dados e integrações</w:t>
      </w:r>
    </w:p>
    <w:p>
      <w:pPr>
        <w:pStyle w:val="Heading3"/>
        <w:pStyle w:val="MdHeading3"/>
      </w:pPr>
      <w:r>
        <w:t xml:space="preserve">ONS — dados operacionais e sistêmicos</w:t>
      </w:r>
    </w:p>
    <w:p>
      <w:pPr>
        <w:pStyle w:val="MdParagraph"/>
      </w:pPr>
      <w:r>
        <w:t xml:space="preserve">A ingestão do ONS utiliza o catálogo público CKAN e a resolução de recursos por slug. O catálogo oficial está disponível no </w:t>
      </w:r>
      <w:hyperlink w:history="1" r:id="rIdakos-fvxvx0o4gkvjsjq0">
        <w:r>
          <w:rPr>
            <w:rStyle w:val="MdLink"/>
          </w:rPr>
          <w:t xml:space="preserve">Portal de Dados Abertos do ONS</w:t>
        </w:r>
      </w:hyperlink>
      <w:r>
        <w:t xml:space="preserve"> [1].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configuração atual possui </w:t>
      </w:r>
      <w:r>
        <w:rPr>
          <w:rStyle w:val="MdStrong"/>
          <w:b/>
          <w:bCs/>
        </w:rPr>
        <w:t xml:space="preserve">31 indicadores/datasets selecionados por padrão</w:t>
      </w:r>
      <w:r>
        <w:t xml:space="preserve">, cobrindo armazenamento, ENA, carga, CMO, intercâmbios, CVU, transmissão, confiabilidade, subestações e capacidade de transformação.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Entre os indicadores mapeados estão: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Domínio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Indicadores representativos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Hidrologia e armazenamento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EAR por subsistema, bacia, reservatório e equivalente de energia; ENA por subsistema, bacia, reservatório e equivalente.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Carga e demanda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Carga diária, carga mensal, carga programada e demanda máxima diária por subsistema.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Mercado e operação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CMO semanal, CMO semi-horário, PLD CCEE e CVU de usina térmica.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Geração e restrições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Previsão eólica, previsão solar e constrained-off solar.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Intercâmbio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Intercâmbio nacional e intercâmbios entre subsistemas.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Transmissão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Linhas, subestações, capacidade de transformação e controles de carregamento.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Confiabilidade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Atendimento a limites sistêmicos, desempenho da frequência, interrupções e taxas TEIF/TEIP.</w:t>
            </w:r>
          </w:p>
        </w:tc>
      </w:tr>
    </w:tbl>
    <w:p>
      <w:pPr>
        <w:pStyle w:val="MdParagraph"/>
      </w:pPr>
      <w:r>
        <w:t xml:space="preserve">Existem ainda seis datasets pesados configurados como opcionais. Eles não são carregados automaticamente para evitar impacto excessivo no tempo de inicialização e no consumo de memória. A ativação é feita explicitamente na célula de configuração.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CCEE — PLD médio diário</w:t>
      </w:r>
    </w:p>
    <w:p>
      <w:pPr>
        <w:pStyle w:val="MdParagraph"/>
      </w:pPr>
      <w:r>
        <w:t xml:space="preserve">O módulo CCEE utiliza o recurso público de </w:t>
      </w:r>
      <w:hyperlink w:history="1" r:id="rIdzlrpq3qkuycj0hbsayvco">
        <w:r>
          <w:rPr>
            <w:rStyle w:val="MdLink"/>
          </w:rPr>
          <w:t xml:space="preserve">PLD médio diário</w:t>
        </w:r>
      </w:hyperlink>
      <w:r>
        <w:t xml:space="preserve"> e o arquivo de download associado [2]. A rotina normaliza nomes de colunas, converte datas para tipo temporal, converte valores numéricos e padroniza os nomes dos submercados para </w:t>
      </w:r>
      <w:r>
        <w:rPr>
          <w:rStyle w:val="MdStrong"/>
          <w:b/>
          <w:bCs/>
        </w:rPr>
        <w:t xml:space="preserve">Norte</w:t>
      </w:r>
      <w:r>
        <w:t xml:space="preserve">, </w:t>
      </w:r>
      <w:r>
        <w:rPr>
          <w:rStyle w:val="MdStrong"/>
          <w:b/>
          <w:bCs/>
        </w:rPr>
        <w:t xml:space="preserve">Nordeste</w:t>
      </w:r>
      <w:r>
        <w:t xml:space="preserve">, </w:t>
      </w:r>
      <w:r>
        <w:rPr>
          <w:rStyle w:val="MdStrong"/>
          <w:b/>
          <w:bCs/>
        </w:rPr>
        <w:t xml:space="preserve">Sul</w:t>
      </w:r>
      <w:r>
        <w:t xml:space="preserve"> e </w:t>
      </w:r>
      <w:r>
        <w:rPr>
          <w:rStyle w:val="MdStrong"/>
          <w:b/>
          <w:bCs/>
        </w:rPr>
        <w:t xml:space="preserve">Sudeste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Quando o recurso externo não está disponível, o projeto apresenta um estado de contingência claramente identificado, preservando a transparência do card e a referência à fonte original. A contingência não deve ser interpretada como substituta permanente da fonte oficial.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ANEEL — bases regulatórias e indicadores abertos</w:t>
      </w:r>
    </w:p>
    <w:p>
      <w:pPr>
        <w:pStyle w:val="MdParagraph"/>
      </w:pPr>
      <w:r>
        <w:t xml:space="preserve">A camada ANEEL funciona como um conjunto de módulos de dados e referências públicas, incluindo indicadores de continuidade, CDE, tarifas, qualidade do fornecimento e relatórios regulatórios. As referências principais incluem o </w:t>
      </w:r>
      <w:hyperlink w:history="1" r:id="rIdggtrf5wse9pz5tv2hpnh-">
        <w:r>
          <w:rPr>
            <w:rStyle w:val="MdLink"/>
          </w:rPr>
          <w:t xml:space="preserve">Portal de Dados Abertos da ANEEL</w:t>
        </w:r>
      </w:hyperlink>
      <w:r>
        <w:t xml:space="preserve"> [3] e os conteúdos institucionais publicados em </w:t>
      </w:r>
      <w:hyperlink w:history="1" r:id="rIdtbtyljeiqwgbjjeuql6qm">
        <w:r>
          <w:rPr>
            <w:rStyle w:val="MdLink"/>
          </w:rPr>
          <w:t xml:space="preserve">gov.br/ANEEL</w:t>
        </w:r>
      </w:hyperlink>
      <w:r>
        <w:t xml:space="preserve"> [4].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EPE, CNPE, CMSE e MegaWhat</w:t>
      </w:r>
    </w:p>
    <w:p>
      <w:pPr>
        <w:pStyle w:val="MdParagraph"/>
      </w:pPr>
      <w:r>
        <w:t xml:space="preserve">Esses módulos complementam a camada analítica com referências de planejamento, estudos, publicações, atos normativos, atas e conteúdo setorial. Eles são apresentados como áreas de consulta e não devem ser confundidos com datasets tabulares ingeridos pelo pipeline principal.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Windy, Denergia e CAMMESA</w:t>
      </w:r>
    </w:p>
    <w:p>
      <w:pPr>
        <w:pStyle w:val="MdParagraph"/>
      </w:pPr>
      <w:r>
        <w:t xml:space="preserve">Os três portais externos são carregados em módulos visualmente padronizados e isolados do pipeline de dados interno: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Integração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Endereço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Finalidade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Windy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hyperlink w:history="1" r:id="rIdwr9bqpezwobmkoifmkckp">
              <w:r>
                <w:rPr>
                  <w:rStyle w:val="MdLink"/>
                </w:rPr>
                <w:t xml:space="preserve">embed.windy.com</w:t>
              </w:r>
            </w:hyperlink>
            <w:r>
              <w:t xml:space="preserve"> [5]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Mapa meteorológico interativo incorporado ao módulo Meteorologia.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Denergia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hyperlink w:history="1" r:id="rId9wguutzb7_27musm4nqnd">
              <w:r>
                <w:rPr>
                  <w:rStyle w:val="MdLink"/>
                </w:rPr>
                <w:t xml:space="preserve">denergia.com.br/login</w:t>
              </w:r>
            </w:hyperlink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Consulta ao portal de índices, curva forward, modulação e PLD.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CAMMESA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hyperlink w:history="1" r:id="rIdlkgntn0gwz2xcrlvxr-rg">
              <w:r>
                <w:rPr>
                  <w:rStyle w:val="MdLink"/>
                </w:rPr>
                <w:t xml:space="preserve">cammesaweb.cammesa.com</w:t>
              </w:r>
            </w:hyperlink>
            <w:r>
              <w:t xml:space="preserve"> [6]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Consulta a operação, programação, renováveis, MATER, relatórios e documentos.</w:t>
            </w:r>
          </w:p>
        </w:tc>
      </w:tr>
    </w:tbl>
    <w:p>
      <w:pPr>
        <w:pStyle w:val="MdParagraph"/>
      </w:pPr>
      <w:r>
        <w:t xml:space="preserve">Cada integração contém um iframe, descrição, identificação da fonte e botão para abrir diretamente em nova aba. Caso a política de segurança do navegador ou do próprio portal impeça o carregamento dentro de iframe, o fallback de abertura direta permanece disponível.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Pipeline de aquisição e tratamento</w:t>
      </w:r>
    </w:p>
    <w:p>
      <w:pPr>
        <w:pStyle w:val="Heading3"/>
        <w:pStyle w:val="MdHeading3"/>
      </w:pPr>
      <w:r>
        <w:t xml:space="preserve">1. Configuração de fontes</w:t>
      </w:r>
    </w:p>
    <w:p>
      <w:pPr>
        <w:pStyle w:val="MdParagraph"/>
      </w:pPr>
      <w:r>
        <w:t xml:space="preserve">A célula de configuração define </w:t>
      </w:r>
      <w:r>
        <w:rPr>
          <w:rStyle w:val="MdCode"/>
          <w:u w:val="single"/>
        </w:rPr>
        <w:t xml:space="preserve">datasets_selecionados</w:t>
      </w:r>
      <w:r>
        <w:t xml:space="preserve">, </w:t>
      </w:r>
      <w:r>
        <w:rPr>
          <w:rStyle w:val="MdCode"/>
          <w:u w:val="single"/>
        </w:rPr>
        <w:t xml:space="preserve">datasets_pesados</w:t>
      </w:r>
      <w:r>
        <w:t xml:space="preserve">, paletas cromáticas, limiares operacionais e o período padrão. O período inicial é </w:t>
      </w:r>
      <w:r>
        <w:rPr>
          <w:rStyle w:val="MdCode"/>
          <w:u w:val="single"/>
        </w:rPr>
        <w:t xml:space="preserve">30d</w:t>
      </w:r>
      <w:r>
        <w:t xml:space="preserve">, com opções de </w:t>
      </w:r>
      <w:r>
        <w:rPr>
          <w:rStyle w:val="MdCode"/>
          <w:u w:val="single"/>
        </w:rPr>
        <w:t xml:space="preserve">24h</w:t>
      </w:r>
      <w:r>
        <w:t xml:space="preserve">, </w:t>
      </w:r>
      <w:r>
        <w:rPr>
          <w:rStyle w:val="MdCode"/>
          <w:u w:val="single"/>
        </w:rPr>
        <w:t xml:space="preserve">7d</w:t>
      </w:r>
      <w:r>
        <w:t xml:space="preserve">, </w:t>
      </w:r>
      <w:r>
        <w:rPr>
          <w:rStyle w:val="MdCode"/>
          <w:u w:val="single"/>
        </w:rPr>
        <w:t xml:space="preserve">15d</w:t>
      </w:r>
      <w:r>
        <w:t xml:space="preserve">, </w:t>
      </w:r>
      <w:r>
        <w:rPr>
          <w:rStyle w:val="MdCode"/>
          <w:u w:val="single"/>
        </w:rPr>
        <w:t xml:space="preserve">30d</w:t>
      </w:r>
      <w:r>
        <w:t xml:space="preserve">, </w:t>
      </w:r>
      <w:r>
        <w:rPr>
          <w:rStyle w:val="MdCode"/>
          <w:u w:val="single"/>
        </w:rPr>
        <w:t xml:space="preserve">60d</w:t>
      </w:r>
      <w:r>
        <w:t xml:space="preserve"> e </w:t>
      </w:r>
      <w:r>
        <w:rPr>
          <w:rStyle w:val="MdCode"/>
          <w:u w:val="single"/>
        </w:rPr>
        <w:t xml:space="preserve">365d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PERIODO_ATUAL = "30d"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PERIOD_DAYS_MAP =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"24h": 1,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"7d": 7,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"15d": 15,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"30d": 30,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"60d": 60,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"365d": 365,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Sessão HTTP resiliente</w:t>
      </w:r>
    </w:p>
    <w:p>
      <w:pPr>
        <w:pStyle w:val="MdParagraph"/>
      </w:pPr>
      <w:r>
        <w:t xml:space="preserve">A aplicação cria uma </w:t>
      </w:r>
      <w:r>
        <w:rPr>
          <w:rStyle w:val="MdCode"/>
          <w:u w:val="single"/>
        </w:rPr>
        <w:t xml:space="preserve">requests.Session</w:t>
      </w:r>
      <w:r>
        <w:t xml:space="preserve"> compartilhada, configura </w:t>
      </w:r>
      <w:r>
        <w:rPr>
          <w:rStyle w:val="MdCode"/>
          <w:u w:val="single"/>
        </w:rPr>
        <w:t xml:space="preserve">HTTPAdapter</w:t>
      </w:r>
      <w:r>
        <w:t xml:space="preserve">, política de retry e pool de conexões. A sessão também define um </w:t>
      </w:r>
      <w:r>
        <w:rPr>
          <w:rStyle w:val="MdCode"/>
          <w:u w:val="single"/>
        </w:rPr>
        <w:t xml:space="preserve">User-Agent</w:t>
      </w:r>
      <w:r>
        <w:t xml:space="preserve"> explícito para as consultas às fontes públicas.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política de aquisição foi desenhada para reduzir falhas transitórias sem produzir loops indefinidos. Além do retry, as rotinas utilizam timeouts por conexão e leitura, limites de bytes e encerramento controlado de tarefas que não retornam dentro do tempo esperado.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Resolução de slugs e recursos</w:t>
      </w:r>
    </w:p>
    <w:p>
      <w:pPr>
        <w:pStyle w:val="MdParagraph"/>
      </w:pPr>
      <w:r>
        <w:t xml:space="preserve">A função </w:t>
      </w:r>
      <w:r>
        <w:rPr>
          <w:rStyle w:val="MdCode"/>
          <w:u w:val="single"/>
        </w:rPr>
        <w:t xml:space="preserve">get_ons_resource</w:t>
      </w:r>
      <w:r>
        <w:t xml:space="preserve"> resolve o slug no catálogo do ONS, identifica o recurso tabular correspondente e retorna o DataFrame acompanhado da URL de origem. Metadados e dados são mantidos em caches independentes, com função específica para resetar os caches quando a célula de aquisição é reexecutada.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Execução concorrente</w:t>
      </w:r>
    </w:p>
    <w:p>
      <w:pPr>
        <w:pStyle w:val="MdParagraph"/>
      </w:pPr>
      <w:r>
        <w:t xml:space="preserve">A função </w:t>
      </w:r>
      <w:r>
        <w:rPr>
          <w:rStyle w:val="MdCode"/>
          <w:u w:val="single"/>
        </w:rPr>
        <w:t xml:space="preserve">fetch_all_datasets</w:t>
      </w:r>
      <w:r>
        <w:t xml:space="preserve"> elimina slugs duplicados e realiza consultas concorrentes com </w:t>
      </w:r>
      <w:r>
        <w:rPr>
          <w:rStyle w:val="MdCode"/>
          <w:u w:val="single"/>
        </w:rPr>
        <w:t xml:space="preserve">ThreadPoolExecutor</w:t>
      </w:r>
      <w:r>
        <w:t xml:space="preserve">. A configuração padrão usa até </w:t>
      </w:r>
      <w:r>
        <w:rPr>
          <w:rStyle w:val="MdStrong"/>
          <w:b/>
          <w:bCs/>
        </w:rPr>
        <w:t xml:space="preserve">seis workers</w:t>
      </w:r>
      <w:r>
        <w:t xml:space="preserve">, enquanto cada slug possui timeout individual de aproximadamente </w:t>
      </w:r>
      <w:r>
        <w:rPr>
          <w:rStyle w:val="MdStrong"/>
          <w:b/>
          <w:bCs/>
        </w:rPr>
        <w:t xml:space="preserve">25 segundos</w:t>
      </w:r>
      <w:r>
        <w:t xml:space="preserve"> no coletor concorrente.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concorrência é aplicada à aquisição independente de datasets; o tratamento posterior continua organizado em sequência para manter previsibilidade na construção dos cards e na classificação por categoria.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Leitura e filtragem temporal</w:t>
      </w:r>
    </w:p>
    <w:p>
      <w:pPr>
        <w:pStyle w:val="MdParagraph"/>
      </w:pPr>
      <w:r>
        <w:t xml:space="preserve">A função </w:t>
      </w:r>
      <w:r>
        <w:rPr>
          <w:rStyle w:val="MdCode"/>
          <w:u w:val="single"/>
        </w:rPr>
        <w:t xml:space="preserve">_read_tabular</w:t>
      </w:r>
      <w:r>
        <w:t xml:space="preserve"> utiliza leitura limitada por tamanho e aplica o filtro de período o mais cedo possível. Quando o formato e a biblioteca permitem, o filtro é aplicado no próprio recurso antes da materialização completa; nos demais casos, o DataFrame é carregado e filtrado posteriormente.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Normalização</w:t>
      </w:r>
    </w:p>
    <w:p>
      <w:pPr>
        <w:pStyle w:val="MdParagraph"/>
      </w:pPr>
      <w:r>
        <w:t xml:space="preserve">Depois da aquisição, o projeto identifica coluna temporal e coluna de valor, converte tipos, remove registros inválidos quando necessário, ordena os dados e prepara uma representação específica para cada gráfico. A série completa permanece disponível para exportação, enquanto o downsampling pode ser utilizado somente para reduzir o payload visual do gráfico.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 Cálculo de indicadores</w:t>
      </w:r>
    </w:p>
    <w:p>
      <w:pPr>
        <w:pStyle w:val="MdParagraph"/>
      </w:pPr>
      <w:r>
        <w:t xml:space="preserve">A camada de preparação calcula o valor mais recente, a variação em relação ao período anterior, a cor de status, a indicação de frescor e o texto formatado para o KPI. Os limiares configurados incluem frequência entre </w:t>
      </w:r>
      <w:r>
        <w:rPr>
          <w:rStyle w:val="MdStrong"/>
          <w:b/>
          <w:bCs/>
        </w:rPr>
        <w:t xml:space="preserve">59,90 e 60,10 Hz</w:t>
      </w:r>
      <w:r>
        <w:t xml:space="preserve">, alerta de EAR abaixo de </w:t>
      </w:r>
      <w:r>
        <w:rPr>
          <w:rStyle w:val="MdStrong"/>
          <w:b/>
          <w:bCs/>
        </w:rPr>
        <w:t xml:space="preserve">30%</w:t>
      </w:r>
      <w:r>
        <w:t xml:space="preserve"> e sinalização crítica de CMO acima de </w:t>
      </w:r>
      <w:r>
        <w:rPr>
          <w:rStyle w:val="MdStrong"/>
          <w:b/>
          <w:bCs/>
        </w:rPr>
        <w:t xml:space="preserve">250</w:t>
      </w:r>
      <w:r>
        <w:t xml:space="preserve"> na unidade aplicável ao dataset.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Os limiares são parâmetros de apresentação e monitoramento. Eles não alteram os dados de origem nem substituem critérios oficiais de operação.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Visualização e experiência analítica</w:t>
      </w:r>
    </w:p>
    <w:p>
      <w:pPr>
        <w:pStyle w:val="Heading3"/>
        <w:pStyle w:val="MdHeading3"/>
      </w:pPr>
      <w:r>
        <w:t xml:space="preserve">Gráficos Plotly</w:t>
      </w:r>
    </w:p>
    <w:p>
      <w:pPr>
        <w:pStyle w:val="MdParagraph"/>
      </w:pPr>
      <w:r>
        <w:t xml:space="preserve">Os gráficos são gerados com </w:t>
      </w:r>
      <w:r>
        <w:rPr>
          <w:rStyle w:val="MdCode"/>
          <w:u w:val="single"/>
        </w:rPr>
        <w:t xml:space="preserve">plotly.graph_objects</w:t>
      </w:r>
      <w:r>
        <w:t xml:space="preserve"> e </w:t>
      </w:r>
      <w:r>
        <w:rPr>
          <w:rStyle w:val="MdCode"/>
          <w:u w:val="single"/>
        </w:rPr>
        <w:t xml:space="preserve">plotly.express</w:t>
      </w:r>
      <w:r>
        <w:t xml:space="preserve">, com serialização segura para JSON e incorporação do runtime Plotly no resultado HTML. O objetivo é permitir interação local com zoom, seleção, hover e exportação visual sem depender exclusivamente de um CDN externo.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função </w:t>
      </w:r>
      <w:r>
        <w:rPr>
          <w:rStyle w:val="MdCode"/>
          <w:u w:val="single"/>
        </w:rPr>
        <w:t xml:space="preserve">render_chart</w:t>
      </w:r>
      <w:r>
        <w:t xml:space="preserve"> atende aos gráficos gerais, enquanto </w:t>
      </w:r>
      <w:r>
        <w:rPr>
          <w:rStyle w:val="MdCode"/>
          <w:u w:val="single"/>
        </w:rPr>
        <w:t xml:space="preserve">render_cvu_combo_chart</w:t>
      </w:r>
      <w:r>
        <w:t xml:space="preserve"> trata especificamente a visualização do CVU. As paletas são definidas por domínio — hidrologia, carga, mercado, transmissão, armazenamento, CMO, PLD, geração, renováveis, CVU e confiabilidade — para manter consistência sem misturar semânticas de cores.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Card de CVU</w:t>
      </w:r>
    </w:p>
    <w:p>
      <w:pPr>
        <w:pStyle w:val="MdParagraph"/>
      </w:pPr>
      <w:r>
        <w:t xml:space="preserve">O CVU é apresentado em um gráfico de colunas detalhadas, ordenado por usina e valor. A visualização mantém o resumo superior, as informações laterais e o seletor de usinas, mas utiliza uma apresentação mais adequada para comparar muitos ativos em uma mesma escala.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hover do CVU é formatado para exibir: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nome da usina;</w:t>
      </w:r>
    </w:p>
    <w:p>
      <w:pPr>
        <w:pStyle w:val="MdListItem"/>
        <w:numPr>
          <w:ilvl w:val="0"/>
          <w:numId w:val="2"/>
        </w:numPr>
      </w:pPr>
      <w:r>
        <w:t xml:space="preserve">data no padrão </w:t>
      </w:r>
      <w:r>
        <w:rPr>
          <w:rStyle w:val="MdCode"/>
          <w:u w:val="single"/>
        </w:rPr>
        <w:t xml:space="preserve">DD/MM/AAAA</w:t>
      </w:r>
      <w:r>
        <w:t xml:space="preserve">;</w:t>
      </w:r>
    </w:p>
    <w:p>
      <w:pPr>
        <w:pStyle w:val="MdListItem"/>
        <w:numPr>
          <w:ilvl w:val="0"/>
          <w:numId w:val="2"/>
        </w:numPr>
      </w:pPr>
      <w:r>
        <w:t xml:space="preserve">valor com separadores legíveis e duas casas decimais;</w:t>
      </w:r>
    </w:p>
    <w:p>
      <w:pPr>
        <w:pStyle w:val="MdListItem"/>
        <w:numPr>
          <w:ilvl w:val="0"/>
          <w:numId w:val="2"/>
        </w:numPr>
      </w:pPr>
      <w:r>
        <w:t xml:space="preserve">unidade </w:t>
      </w:r>
      <w:r>
        <w:rPr>
          <w:rStyle w:val="MdCode"/>
          <w:u w:val="single"/>
        </w:rPr>
        <w:t xml:space="preserve">R$/MWh</w:t>
      </w:r>
      <w:r>
        <w:t xml:space="preserve">;</w:t>
      </w:r>
    </w:p>
    <w:p>
      <w:pPr>
        <w:pStyle w:val="MdListItem"/>
        <w:numPr>
          <w:ilvl w:val="0"/>
          <w:numId w:val="2"/>
        </w:numPr>
      </w:pPr>
      <w:r>
        <w:t xml:space="preserve">submercado ou região quando disponível.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separação entre o DataFrame de exportação e a série reduzida para o gráfico garante que a otimização visual não elimine dados do arquivo CSV ou Excel.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Cards e detalhamento</w:t>
      </w:r>
    </w:p>
    <w:p>
      <w:pPr>
        <w:pStyle w:val="MdParagraph"/>
      </w:pPr>
      <w:r>
        <w:t xml:space="preserve">A função </w:t>
      </w:r>
      <w:r>
        <w:rPr>
          <w:rStyle w:val="MdCode"/>
          <w:u w:val="single"/>
        </w:rPr>
        <w:t xml:space="preserve">card_wrap</w:t>
      </w:r>
      <w:r>
        <w:t xml:space="preserve"> centraliza a criação dos cards. Ela combina título, descrição, KPI, variação, status, data de atualização, fonte, gráfico, controles de período e ações.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Cards com </w:t>
      </w:r>
      <w:r>
        <w:rPr>
          <w:rStyle w:val="MdCode"/>
          <w:u w:val="single"/>
        </w:rPr>
        <w:t xml:space="preserve">df_export</w:t>
      </w:r>
      <w:r>
        <w:t xml:space="preserve"> válido exibem ações de: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abertura da fonte original;</w:t>
      </w:r>
    </w:p>
    <w:p>
      <w:pPr>
        <w:pStyle w:val="MdListItem"/>
        <w:numPr>
          <w:ilvl w:val="0"/>
          <w:numId w:val="3"/>
        </w:numPr>
      </w:pPr>
      <w:r>
        <w:t xml:space="preserve">download dos dados em CSV;</w:t>
      </w:r>
    </w:p>
    <w:p>
      <w:pPr>
        <w:pStyle w:val="MdListItem"/>
        <w:numPr>
          <w:ilvl w:val="0"/>
          <w:numId w:val="3"/>
        </w:numPr>
      </w:pPr>
      <w:r>
        <w:t xml:space="preserve">download dos dados em Excel;</w:t>
      </w:r>
    </w:p>
    <w:p>
      <w:pPr>
        <w:pStyle w:val="MdListItem"/>
        <w:numPr>
          <w:ilvl w:val="0"/>
          <w:numId w:val="3"/>
        </w:numPr>
      </w:pPr>
      <w:r>
        <w:t xml:space="preserve">abertura do detalhamento interativo.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painel de detalhes funciona como uma camada separada da navegação principal. Isso permite aprofundar a análise sem perder o contexto da aba atual.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Exportação de dados</w:t>
      </w:r>
    </w:p>
    <w:p>
      <w:pPr>
        <w:pStyle w:val="MdParagraph"/>
      </w:pPr>
      <w:r>
        <w:t xml:space="preserve">A exportação é individual por card e usa o mesmo DataFrame preparado para o indicador. O CSV é convertido para Base64 e disponibilizado por uma URL </w:t>
      </w:r>
      <w:r>
        <w:rPr>
          <w:rStyle w:val="MdCode"/>
          <w:u w:val="single"/>
        </w:rPr>
        <w:t xml:space="preserve">data:</w:t>
      </w:r>
      <w:r>
        <w:t xml:space="preserve">; o Excel é produzido em memória por meio de </w:t>
      </w:r>
      <w:r>
        <w:rPr>
          <w:rStyle w:val="MdCode"/>
          <w:u w:val="single"/>
        </w:rPr>
        <w:t xml:space="preserve">pandas.ExcelWriter</w:t>
      </w:r>
      <w:r>
        <w:t xml:space="preserve"> com o engine </w:t>
      </w:r>
      <w:r>
        <w:rPr>
          <w:rStyle w:val="MdCode"/>
          <w:u w:val="single"/>
        </w:rPr>
        <w:t xml:space="preserve">openpyxl</w:t>
      </w:r>
      <w:r>
        <w:t xml:space="preserve">, também convertido para Base64 antes de ser inserido no HTML.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As funções responsáveis são: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_df_to_csv_b64(df)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_df_to_xlsx_b64(df)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Os arquivos são nomeados a partir do título do card, com normalização do caractere de travessão e extensão correspondente. O mecanismo evita a necessidade de um servidor de arquivos separado para exportações simples.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Formato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MIME utilizado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Extensão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Conteúdo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CSV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text/csv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.csv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DataFrame tabular do card, com as colunas disponíveis na fonte tratada.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Excel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application/vnd.openxmlformats-officedocument.spreadsheetml.sheet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.xlsx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DataFrame em uma planilha </w:t>
            </w:r>
            <w:r>
              <w:rPr>
                <w:rStyle w:val="MdCode"/>
                <w:u w:val="single"/>
              </w:rPr>
              <w:t xml:space="preserve">Dados</w:t>
            </w:r>
            <w:r>
              <w:t xml:space="preserve">, sem índice e com datas normalizadas quando necessário.</w:t>
            </w:r>
          </w:p>
        </w:tc>
      </w:tr>
    </w:tbl>
    <w:p>
      <w:pPr>
        <w:pStyle w:val="MdParagraph"/>
      </w:pPr>
      <w:r>
        <w:t xml:space="preserve">Para cards em contingência ou sem DataFrame real, as ações de download podem não ser exibidas. Essa decisão evita gerar arquivos aparentemente oficiais a partir de dados que não foram obtidos da fonte principal.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Estrutura interna do notebook</w:t>
      </w:r>
    </w:p>
    <w:p>
      <w:pPr>
        <w:pStyle w:val="MdParagraph"/>
      </w:pPr>
      <w:r>
        <w:t xml:space="preserve">Os notebooks finais são compostos por dez células de código, organizadas da seguinte forma: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Célula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Responsabilidade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rPr>
                <w:rStyle w:val="MdCode"/>
                <w:u w:val="single"/>
              </w:rP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Importações, período padrão, estado global, sessão HTTP, retry e configuração de conexões.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rPr>
                <w:rStyle w:val="MdCode"/>
                <w:u w:val="single"/>
              </w:rPr>
              <w:t xml:space="preserve">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Mapeamento dos datasets selecionados, datasets pesados, paletas e limiares.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rPr>
                <w:rStyle w:val="MdCode"/>
                <w:u w:val="single"/>
              </w:rPr>
              <w:t xml:space="preserve">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Funções de aquisição ONS/CCEE, resolução de recursos, caches e leitura tabular.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rPr>
                <w:rStyle w:val="MdCode"/>
                <w:u w:val="single"/>
              </w:rPr>
              <w:t xml:space="preserve">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Dados de contingência e função de fallback.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rPr>
                <w:rStyle w:val="MdCode"/>
                <w:u w:val="single"/>
              </w:rPr>
              <w:t xml:space="preserve">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Preparação auxiliar do ambiente e estado de coleta.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rPr>
                <w:rStyle w:val="MdCode"/>
                <w:u w:val="single"/>
              </w:rPr>
              <w:t xml:space="preserve">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Normalização, identificação de colunas, filtragem, KPIs, variações, frescor e downsampling.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rPr>
                <w:rStyle w:val="MdCode"/>
                <w:u w:val="single"/>
              </w:rPr>
              <w:t xml:space="preserve">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Renderização Plotly, CVU, serialização, exportação CSV/Excel e construção de cards.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rPr>
                <w:rStyle w:val="MdCode"/>
                <w:u w:val="single"/>
              </w:rPr>
              <w:t xml:space="preserve">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Determinação de unidade, categoria e aba de cada indicador.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rPr>
                <w:rStyle w:val="MdCode"/>
                <w:u w:val="single"/>
              </w:rPr>
              <w:t xml:space="preserve">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Coleta concorrente de todos os datasets selecionados e construção dos DataFrames/cards.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rPr>
                <w:rStyle w:val="MdCode"/>
                <w:u w:val="single"/>
              </w:rPr>
              <w:t xml:space="preserve">9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Template HTML/CSS/JavaScript, navegação, menus, painéis, gráficos, login, Windy e módulos externos.</w:t>
            </w:r>
          </w:p>
        </w:tc>
      </w:tr>
    </w:tbl>
    <w:p>
      <w:pPr>
        <w:pStyle w:val="MdParagraph"/>
      </w:pPr>
      <w:r>
        <w:t xml:space="preserve">A regra de manutenção mais importante é preservar a ordem de execução. A célula de apresentação depende das variáveis e funções construídas nas células anteriores.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Execução local</w:t>
      </w:r>
    </w:p>
    <w:p>
      <w:pPr>
        <w:pStyle w:val="Heading3"/>
        <w:pStyle w:val="MdHeading3"/>
      </w:pPr>
      <w:r>
        <w:t xml:space="preserve">Pré-requisitos</w:t>
      </w:r>
    </w:p>
    <w:p>
      <w:pPr>
        <w:pStyle w:val="MdParagraph"/>
      </w:pPr>
      <w:r>
        <w:t xml:space="preserve">O projeto foi desenvolvido para execução em ambiente Jupyter, JupyterLab ou Google Colab com acesso à internet. Recomenda-se Python 3.10 ou superior.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Dependências principais: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 -m pip install --upgrade pip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 -m pip install numpy pandas requests urllib3 plotly openpyxl ipython jupyter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Em ambientes gerenciados, como Colab ou plataformas corporativas, parte dessas dependências já pode estar instalada.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Execução recomendada</w:t>
      </w:r>
    </w:p>
    <w:p>
      <w:pPr>
        <w:pStyle w:val="MdListItem"/>
        <w:numPr>
          <w:ilvl w:val="0"/>
          <w:numId w:val="3"/>
        </w:numPr>
      </w:pPr>
      <w:r>
        <w:t xml:space="preserve">Clone ou baixe o repositório.</w:t>
      </w:r>
    </w:p>
    <w:p>
      <w:pPr>
        <w:pStyle w:val="MdListItem"/>
        <w:numPr>
          <w:ilvl w:val="0"/>
          <w:numId w:val="3"/>
        </w:numPr>
      </w:pPr>
      <w:r>
        <w:t xml:space="preserve">Abra um dos notebooks finais: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Painel_Dados_Abertos_CORE_Profissional_Denergia_CAMMESA.ipynb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Painel_Dados_Abertos_CORE_Comprimido_Profissional_Denergia_CAMMESA.ipynb</w:t>
      </w:r>
    </w:p>
    <w:p>
      <w:pPr>
        <w:pStyle w:val="MdListItem"/>
        <w:numPr>
          <w:ilvl w:val="0"/>
          <w:numId w:val="3"/>
        </w:numPr>
      </w:pPr>
      <w:r>
        <w:t xml:space="preserve">Execute as células em ordem, preferencialmente com </w:t>
      </w:r>
      <w:r>
        <w:rPr>
          <w:rStyle w:val="MdStrong"/>
          <w:b/>
          <w:bCs/>
        </w:rPr>
        <w:t xml:space="preserve">Run All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Aguarde a conclusão da aquisição dos datasets.</w:t>
      </w:r>
    </w:p>
    <w:p>
      <w:pPr>
        <w:pStyle w:val="MdListItem"/>
        <w:numPr>
          <w:ilvl w:val="0"/>
          <w:numId w:val="3"/>
        </w:numPr>
      </w:pPr>
      <w:r>
        <w:t xml:space="preserve">Verifique no log quais indicadores foram obtidos, colocados em contingência ou marcados como falha.</w:t>
      </w:r>
    </w:p>
    <w:p>
      <w:pPr>
        <w:pStyle w:val="MdListItem"/>
        <w:numPr>
          <w:ilvl w:val="0"/>
          <w:numId w:val="3"/>
        </w:numPr>
      </w:pPr>
      <w:r>
        <w:t xml:space="preserve">Abra o dashboard renderizado na saída da célula final.</w:t>
      </w:r>
    </w:p>
    <w:p>
      <w:pPr>
        <w:pStyle w:val="MdListItem"/>
        <w:numPr>
          <w:ilvl w:val="0"/>
          <w:numId w:val="3"/>
        </w:numPr>
      </w:pPr>
      <w:r>
        <w:t xml:space="preserve">Utilize o menu lateral, os filtros por período, os cards, o seletor do CVU e os botões de exportação.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modo comprimido mantém a mesma lógica e interface essencial, mas é destinado a ambientes em que o tamanho do notebook ou o tempo de carregamento precisam ser reduzidos.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Configuração de período</w:t>
      </w:r>
    </w:p>
    <w:p>
      <w:pPr>
        <w:pStyle w:val="MdParagraph"/>
      </w:pPr>
      <w:r>
        <w:t xml:space="preserve">Para alterar a janela inicial, modifique apenas a constante de configuração: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PERIODO_ATUAL = "7d"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Valores aceitos: </w:t>
      </w:r>
      <w:r>
        <w:rPr>
          <w:rStyle w:val="MdCode"/>
          <w:u w:val="single"/>
        </w:rPr>
        <w:t xml:space="preserve">24h</w:t>
      </w:r>
      <w:r>
        <w:t xml:space="preserve">, </w:t>
      </w:r>
      <w:r>
        <w:rPr>
          <w:rStyle w:val="MdCode"/>
          <w:u w:val="single"/>
        </w:rPr>
        <w:t xml:space="preserve">7d</w:t>
      </w:r>
      <w:r>
        <w:t xml:space="preserve">, </w:t>
      </w:r>
      <w:r>
        <w:rPr>
          <w:rStyle w:val="MdCode"/>
          <w:u w:val="single"/>
        </w:rPr>
        <w:t xml:space="preserve">15d</w:t>
      </w:r>
      <w:r>
        <w:t xml:space="preserve">, </w:t>
      </w:r>
      <w:r>
        <w:rPr>
          <w:rStyle w:val="MdCode"/>
          <w:u w:val="single"/>
        </w:rPr>
        <w:t xml:space="preserve">30d</w:t>
      </w:r>
      <w:r>
        <w:t xml:space="preserve">, </w:t>
      </w:r>
      <w:r>
        <w:rPr>
          <w:rStyle w:val="MdCode"/>
          <w:u w:val="single"/>
        </w:rPr>
        <w:t xml:space="preserve">60d</w:t>
      </w:r>
      <w:r>
        <w:t xml:space="preserve"> e </w:t>
      </w:r>
      <w:r>
        <w:rPr>
          <w:rStyle w:val="MdCode"/>
          <w:u w:val="single"/>
        </w:rPr>
        <w:t xml:space="preserve">365d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Ativação de datasets pesados</w:t>
      </w:r>
    </w:p>
    <w:p>
      <w:pPr>
        <w:pStyle w:val="MdParagraph"/>
      </w:pPr>
      <w:r>
        <w:t xml:space="preserve">Datasets pesados ficam deliberadamente desativados por padrão. Para habilitar um deles, remova o comentário do dataset desejado e, somente se necessário, ative a atualização do dicionário principal: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 datasets_selecionados.update(datasets_pesados)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Essa operação deve ser feita com atenção, porque arquivos maiores podem aumentar o tempo de aquisição e o consumo de memória.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Qualidade, observabilidade e contingência</w:t>
      </w:r>
    </w:p>
    <w:p>
      <w:pPr>
        <w:pStyle w:val="MdParagraph"/>
      </w:pPr>
      <w:r>
        <w:t xml:space="preserve">O projeto não trata todo retorno externo como dado confiável por padrão. Cada indicador pode assumir estados de sucesso, contingência ou falha, e a interface apresenta o estado correspondente no card.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Controle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Implementação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Frescor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Verificação da distância entre a data mais recente do recurso e o período atual.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Fonte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Link direto para o dataset ou página oficial de origem.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Falha isolada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Um dataset que falha não deve impedir a montagem dos demais cards.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Fallback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Estado de contingência explícito, sem ocultar que o recurso primário não foi obtido.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Timeout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Limite por conexão, leitura e tarefa concorrente.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Retry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Repetição controlada para erros transitórios de rede.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Cache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Caches separados para metadados e dados, com reset explícito.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Downsampling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Redução restrita ao payload de visualização; exportações continuam baseadas no DataFrame completo.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Auditoria visual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Status, data, fonte, defasagem e unidade exibidos no contexto do card.</w:t>
            </w:r>
          </w:p>
        </w:tc>
      </w:tr>
    </w:tbl>
    <w:p>
      <w:pPr>
        <w:pStyle w:val="MdParagraph"/>
      </w:pPr>
      <w:r>
        <w:t xml:space="preserve">Os logs de execução identificam o slug consultado, o tempo aproximado de retorno, o resultado da operação e o tipo de falha quando aplicável. Isso facilita diagnóstico de fontes lentas, alterações no catálogo ou indisponibilidade temporária.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Segurança e governança</w:t>
      </w:r>
    </w:p>
    <w:p>
      <w:pPr>
        <w:pStyle w:val="MdParagraph"/>
      </w:pPr>
      <w:r>
        <w:t xml:space="preserve">O notebook possui uma tela de login e módulos externos, mas continua sendo um artefato executável. Antes de publicar em um repositório público, recomenda-se revisar cuidadosamente quaisquer credenciais, tokens, URLs privadas, exemplos de autenticação e dados embutidos em fallback.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As regras de segurança recomendadas são: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nunca armazenar credenciais reais diretamente no notebook;</w:t>
      </w:r>
    </w:p>
    <w:p>
      <w:pPr>
        <w:pStyle w:val="MdListItem"/>
        <w:numPr>
          <w:ilvl w:val="0"/>
          <w:numId w:val="2"/>
        </w:numPr>
      </w:pPr>
      <w:r>
        <w:t xml:space="preserve">utilizar variáveis de ambiente ou mecanismo externo de segredo quando houver autenticação;</w:t>
      </w:r>
    </w:p>
    <w:p>
      <w:pPr>
        <w:pStyle w:val="MdListItem"/>
        <w:numPr>
          <w:ilvl w:val="0"/>
          <w:numId w:val="2"/>
        </w:numPr>
      </w:pPr>
      <w:r>
        <w:t xml:space="preserve">não commitar cookies, tokens de sessão ou arquivos de configuração privados;</w:t>
      </w:r>
    </w:p>
    <w:p>
      <w:pPr>
        <w:pStyle w:val="MdListItem"/>
        <w:numPr>
          <w:ilvl w:val="0"/>
          <w:numId w:val="2"/>
        </w:numPr>
      </w:pPr>
      <w:r>
        <w:t xml:space="preserve">manter o acesso a áreas autenticadas somente por mecanismos oficialmente autorizados;</w:t>
      </w:r>
    </w:p>
    <w:p>
      <w:pPr>
        <w:pStyle w:val="MdListItem"/>
        <w:numPr>
          <w:ilvl w:val="0"/>
          <w:numId w:val="2"/>
        </w:numPr>
      </w:pPr>
      <w:r>
        <w:t xml:space="preserve">respeitar políticas de acesso, robots, limites de requisição e termos das fontes;</w:t>
      </w:r>
    </w:p>
    <w:p>
      <w:pPr>
        <w:pStyle w:val="MdListItem"/>
        <w:numPr>
          <w:ilvl w:val="0"/>
          <w:numId w:val="2"/>
        </w:numPr>
      </w:pPr>
      <w:r>
        <w:t xml:space="preserve">conservar a atribuição e os links para as fontes oficiais;</w:t>
      </w:r>
    </w:p>
    <w:p>
      <w:pPr>
        <w:pStyle w:val="MdListItem"/>
        <w:numPr>
          <w:ilvl w:val="0"/>
          <w:numId w:val="2"/>
        </w:numPr>
      </w:pPr>
      <w:r>
        <w:t xml:space="preserve">tratar iframes externos como dependências não confiáveis e não como parte da camada interna de dados;</w:t>
      </w:r>
    </w:p>
    <w:p>
      <w:pPr>
        <w:pStyle w:val="MdListItem"/>
        <w:numPr>
          <w:ilvl w:val="0"/>
          <w:numId w:val="2"/>
        </w:numPr>
      </w:pPr>
      <w:r>
        <w:t xml:space="preserve">validar mudanças no schema dos datasets antes de liberar uma nova versão.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incorporação de Windy, Denergia e CAMMESA depende das políticas de segurança do navegador e das configurações de cada domínio. O projeto possui fallback de abertura direta para reduzir o impacto quando um portal não autorizar carregamento embutido.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Limitações conhecidas</w:t>
      </w:r>
    </w:p>
    <w:p>
      <w:pPr>
        <w:pStyle w:val="MdParagraph"/>
      </w:pPr>
      <w:r>
        <w:t xml:space="preserve">A solução é distribuída como notebook e, portanto, reúne em um único arquivo código de aquisição, tratamento, visualização e apresentação. Isso facilita a distribuição e a demonstração, mas não substitui uma arquitetura de produção com backend, agendamento, observabilidade centralizada, banco de dados e controle de versões de schema.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Os dados dependem da disponibilidade, estabilidade e estrutura dos portais oficiais. Mudanças de URL, nome de coluna, formato de arquivo, política de acesso ou catálogo podem exigir ajustes no conector correspondente.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Os módulos Denergia e CAMMESA são acessos externos isolados. Eles não constituem uma replicação local completa dos portais e podem apresentar tela de login, bloqueio de iframe, carregamento lento ou indisponibilidade independentemente do restante do painel.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presença de um indicador no dashboard não significa que ele esteja atualizado em tempo real. O usuário deve sempre observar a data de atualização, a fonte, a defasagem e o status exibido no próprio card.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Evolução recomendada</w:t>
      </w:r>
    </w:p>
    <w:p>
      <w:pPr>
        <w:pStyle w:val="MdParagraph"/>
      </w:pPr>
      <w:r>
        <w:t xml:space="preserve">A evolução natural do projeto pode seguir uma separação progressiva entre apresentação e serviços: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Fase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Evolução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1. Reprodutibilidade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Fixar versões em </w:t>
            </w:r>
            <w:r>
              <w:rPr>
                <w:rStyle w:val="MdCode"/>
                <w:u w:val="single"/>
              </w:rPr>
              <w:t xml:space="preserve">requirements.txt</w:t>
            </w:r>
            <w:r>
              <w:t xml:space="preserve">, adicionar testes de schema, criar um arquivo de configuração e registrar o ambiente de execução.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2. Dados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Extrair a ingestão para módulos Python, persistir snapshots e controlar histórico de atualizações.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3. Automação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Agendar coleta, validar freshness, registrar falhas e enviar alertas de indisponibilidade.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4. Integração oficial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Avaliar a API Web do ONS e a API/serviços autorizados da CAMMESA antes de substituir links ou iframes por conectores estruturados.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 Aplicação web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Migrar a camada visual para frontend/backend separados, mantendo os contratos de dados e as funções de normalização.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6. Governança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Adicionar perfis de acesso, trilha de auditoria, catálogo de indicadores e documentação de qualidade por fonte.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7. Analytics avançado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Implementar alertas, comparação de cenários, análise de correlação entre meteorologia e renováveis e séries históricas persistidas.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Contribuição</w:t>
      </w:r>
    </w:p>
    <w:p>
      <w:pPr>
        <w:pStyle w:val="MdParagraph"/>
      </w:pPr>
      <w:r>
        <w:t xml:space="preserve">Contribuições são bem-vindas, especialmente para melhorias de resiliência dos conectores, testes de schema, acessibilidade, desempenho, qualidade dos tooltips e documentação das fontes.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Antes de propor uma alteração, recomenda-se: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preservar a separação entre ingestão, tratamento, visualização e apresentação;</w:t>
      </w:r>
    </w:p>
    <w:p>
      <w:pPr>
        <w:pStyle w:val="MdListItem"/>
        <w:numPr>
          <w:ilvl w:val="0"/>
          <w:numId w:val="3"/>
        </w:numPr>
      </w:pPr>
      <w:r>
        <w:t xml:space="preserve">não alterar a lógica de aquisição para resolver apenas uma necessidade visual;</w:t>
      </w:r>
    </w:p>
    <w:p>
      <w:pPr>
        <w:pStyle w:val="MdListItem"/>
        <w:numPr>
          <w:ilvl w:val="0"/>
          <w:numId w:val="3"/>
        </w:numPr>
      </w:pPr>
      <w:r>
        <w:t xml:space="preserve">testar com fonte disponível, fonte lenta e fonte indisponível;</w:t>
      </w:r>
    </w:p>
    <w:p>
      <w:pPr>
        <w:pStyle w:val="MdListItem"/>
        <w:numPr>
          <w:ilvl w:val="0"/>
          <w:numId w:val="3"/>
        </w:numPr>
      </w:pPr>
      <w:r>
        <w:t xml:space="preserve">verificar se a exportação CSV/Excel continua íntegra;</w:t>
      </w:r>
    </w:p>
    <w:p>
      <w:pPr>
        <w:pStyle w:val="MdListItem"/>
        <w:numPr>
          <w:ilvl w:val="0"/>
          <w:numId w:val="3"/>
        </w:numPr>
      </w:pPr>
      <w:r>
        <w:t xml:space="preserve">confirmar que o DataFrame completo não foi substituído por uma série reduzida do gráfico;</w:t>
      </w:r>
    </w:p>
    <w:p>
      <w:pPr>
        <w:pStyle w:val="MdListItem"/>
        <w:numPr>
          <w:ilvl w:val="0"/>
          <w:numId w:val="3"/>
        </w:numPr>
      </w:pPr>
      <w:r>
        <w:t xml:space="preserve">validar todas as abas e o painel de detalhes;</w:t>
      </w:r>
    </w:p>
    <w:p>
      <w:pPr>
        <w:pStyle w:val="MdListItem"/>
        <w:numPr>
          <w:ilvl w:val="0"/>
          <w:numId w:val="3"/>
        </w:numPr>
      </w:pPr>
      <w:r>
        <w:t xml:space="preserve">documentar mudanças de fonte, período, schema ou política de fallback.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Licença e uso das fontes</w:t>
      </w:r>
    </w:p>
    <w:p>
      <w:pPr>
        <w:pStyle w:val="MdParagraph"/>
      </w:pPr>
      <w:r>
        <w:t xml:space="preserve">A licença do código deste projeto deve ser definida pelo mantenedor antes da publicação final. Os dados, marcas, documentos e portais externos continuam sujeitos às licenças, políticas de acesso e condições de uso de seus respectivos proprietários.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utilização do dashboard deve preservar a indicação de fonte e o link para o recurso oficial sempre que os dados forem exibidos, exportados ou redistribuídos.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Referências</w:t>
      </w:r>
    </w:p>
    <w:p>
      <w:pPr>
        <w:pStyle w:val="MdParagraph"/>
      </w:pPr>
      <w:r>
        <w:t xml:space="preserve">[1]: </w:t>
      </w:r>
      <w:hyperlink w:history="1" r:id="rId5bdhthctw6cdlb3glgulh">
        <w:r>
          <w:rPr>
            <w:rStyle w:val="MdLink"/>
          </w:rPr>
          <w:t xml:space="preserve">https://dados.ons.org.br/dataset/?organization=ons</w:t>
        </w:r>
      </w:hyperlink>
      <w:r>
        <w:t xml:space="preserve"> — ONS, catálogo de dados abertos.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[2]: </w:t>
      </w:r>
      <w:hyperlink w:history="1" r:id="rIdnidansvhvmeh1vuzyhqlw">
        <w:r>
          <w:rPr>
            <w:rStyle w:val="MdLink"/>
          </w:rPr>
          <w:t xml:space="preserve">https://dadosabertos.ccee.org.br/dataset/pld_media_diaria</w:t>
        </w:r>
      </w:hyperlink>
      <w:r>
        <w:t xml:space="preserve"> — CCEE, conjunto de dados de PLD médio diário.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[3]: </w:t>
      </w:r>
      <w:hyperlink w:history="1" r:id="rIdhcgphrp1ufz7pg5dgcivi">
        <w:r>
          <w:rPr>
            <w:rStyle w:val="MdLink"/>
          </w:rPr>
          <w:t xml:space="preserve">https://dadosabertos.aneel.gov.br/</w:t>
        </w:r>
      </w:hyperlink>
      <w:r>
        <w:t xml:space="preserve"> — ANEEL, Portal de Dados Abertos.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[4]: </w:t>
      </w:r>
      <w:hyperlink w:history="1" r:id="rIdfrj_nuggzmnczsmlmzyhp">
        <w:r>
          <w:rPr>
            <w:rStyle w:val="MdLink"/>
          </w:rPr>
          <w:t xml:space="preserve">https://www.gov.br/aneel/</w:t>
        </w:r>
      </w:hyperlink>
      <w:r>
        <w:t xml:space="preserve"> — ANEEL, portal institucional e regulatório.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[5]: </w:t>
      </w:r>
      <w:hyperlink w:history="1" r:id="rIdebfelskmybup2frj4eam0">
        <w:r>
          <w:rPr>
            <w:rStyle w:val="MdLink"/>
          </w:rPr>
          <w:t xml:space="preserve">https://embed.windy.com/</w:t>
        </w:r>
      </w:hyperlink>
      <w:r>
        <w:t xml:space="preserve"> — Windy, configurador oficial de incorporação do mapa.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[6]: </w:t>
      </w:r>
      <w:hyperlink w:history="1" r:id="rIdydwsgl1topvdpfjsceuu0">
        <w:r>
          <w:rPr>
            <w:rStyle w:val="MdLink"/>
          </w:rPr>
          <w:t xml:space="preserve">https://cammesaweb.cammesa.com/</w:t>
        </w:r>
      </w:hyperlink>
      <w:r>
        <w:t xml:space="preserve"> — CAMMESA, portal oficial.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[7]: </w:t>
      </w:r>
      <w:hyperlink w:history="1" r:id="rIdasx9qidmmbwlh-rfocvbc">
        <w:r>
          <w:rPr>
            <w:rStyle w:val="MdLink"/>
          </w:rPr>
          <w:t xml:space="preserve">https://denergia.com.br/login</w:t>
        </w:r>
      </w:hyperlink>
      <w:r>
        <w:t xml:space="preserve"> — Denergia, portal de índices e mercado.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[8]: </w:t>
      </w:r>
      <w:hyperlink w:history="1" r:id="rIdi3cyrlev4cl4o5hl3tdmy">
        <w:r>
          <w:rPr>
            <w:rStyle w:val="MdLink"/>
          </w:rPr>
          <w:t xml:space="preserve">https://www.epe.gov.br/</w:t>
        </w:r>
      </w:hyperlink>
      <w:r>
        <w:t xml:space="preserve"> — EPE, Empresa de Pesquisa Energética.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[9]: </w:t>
      </w:r>
      <w:hyperlink w:history="1" r:id="rId1jikk238aphcrxtywlzge">
        <w:r>
          <w:rPr>
            <w:rStyle w:val="MdLink"/>
          </w:rPr>
          <w:t xml:space="preserve">https://www.gov.br/mme/pt-br/assuntos/conselhos-e-comites/cnpe</w:t>
        </w:r>
      </w:hyperlink>
      <w:r>
        <w:t xml:space="preserve"> — CNPE, Conselho Nacional de Política Energética.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[10]: </w:t>
      </w:r>
      <w:hyperlink w:history="1" r:id="rId2cfsfpbfozsrl9ytmrx5q">
        <w:r>
          <w:rPr>
            <w:rStyle w:val="MdLink"/>
          </w:rPr>
          <w:t xml:space="preserve">https://www.gov.br/mme/pt-br/assuntos/conselhos-e-comites/cmse</w:t>
        </w:r>
      </w:hyperlink>
      <w:r>
        <w:t xml:space="preserve"> — CMSE, Comitê de Monitoramento do Setor Elétrico.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[11]: </w:t>
      </w:r>
      <w:hyperlink w:history="1" r:id="rIdubm4ihw_sv3iajnf-nus8">
        <w:r>
          <w:rPr>
            <w:rStyle w:val="MdLink"/>
          </w:rPr>
          <w:t xml:space="preserve">https://megawhat.uol.com.br/</w:t>
        </w:r>
      </w:hyperlink>
      <w:r>
        <w:t xml:space="preserve"> — MegaWhat, portal de conteúdo setorial.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Autor:</w:t>
      </w:r>
      <w:r>
        <w:t xml:space="preserve"> Manus AI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Tipo de artefato:</w:t>
      </w:r>
      <w:r>
        <w:t xml:space="preserve"> Jupyter Notebook com dashboard HTML interativo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Escopo:</w:t>
      </w:r>
      <w:r>
        <w:t xml:space="preserve"> Dados abertos, indicadores operacionais, mercado, meteorologia e referências institucionais do setor elétrico</w:t>
      </w:r>
    </w:p>
    <w:p>
      <w:r>
        <w:br w:type="page"/>
      </w:r>
    </w:p>
    <w:p>
      <w:r>
        <w:rPr>
          <w:b/>
          <w:sz w:val="32"/>
        </w:rPr>
        <w:t>Atualização técnica — versão consolidada</w:t>
      </w:r>
    </w:p>
    <w:p>
      <w:r>
        <w:rPr>
          <w:b/>
        </w:rPr>
        <w:t xml:space="preserve">Escopo. </w:t>
      </w:r>
      <w:r>
        <w:t>Esta seção registra as alterações realizadas desde o notebook inicial até a versão final entregue para publicação no GitHub. O código de coleta, os conectores oficiais e os mecanismos de exportação foram preservados; as alterações concentram-se em robustez, apresentação, navegação e rastreabilidade.</w:t>
      </w:r>
    </w:p>
    <w:p>
      <w:r>
        <w:rPr>
          <w:b/>
          <w:sz w:val="26"/>
        </w:rPr>
        <w:t>Histórico de correções e melhorias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vAlign w:val="center"/>
          </w:tcPr>
          <w:p>
            <w:r>
              <w:t>Componente</w:t>
            </w:r>
          </w:p>
        </w:tc>
        <w:tc>
          <w:tcPr>
            <w:tcW w:type="dxa" w:w="3009"/>
            <w:vAlign w:val="center"/>
          </w:tcPr>
          <w:p>
            <w:r>
              <w:t>Alteração consolidada</w:t>
            </w:r>
          </w:p>
        </w:tc>
        <w:tc>
          <w:tcPr>
            <w:tcW w:type="dxa" w:w="3009"/>
            <w:vAlign w:val="center"/>
          </w:tcPr>
          <w:p>
            <w:r>
              <w:t>Resultado técnico</w:t>
            </w:r>
          </w:p>
        </w:tc>
      </w:tr>
      <w:tr>
        <w:tc>
          <w:tcPr>
            <w:tcW w:type="dxa" w:w="3009"/>
          </w:tcPr>
          <w:p>
            <w:r>
              <w:t>Layout ONS</w:t>
            </w:r>
          </w:p>
        </w:tc>
        <w:tc>
          <w:tcPr>
            <w:tcW w:type="dxa" w:w="3009"/>
          </w:tcPr>
          <w:p>
            <w:r>
              <w:t>Cards padronizados em uma única coluna, com largura integral e dimensionamento consistente com o CVU.</w:t>
            </w:r>
          </w:p>
        </w:tc>
        <w:tc>
          <w:tcPr>
            <w:tcW w:type="dxa" w:w="3009"/>
          </w:tcPr>
          <w:p>
            <w:r>
              <w:t>Maior legibilidade e aproveitamento vertical da aba ONS.</w:t>
            </w:r>
          </w:p>
        </w:tc>
      </w:tr>
      <w:tr>
        <w:tc>
          <w:tcPr>
            <w:tcW w:type="dxa" w:w="3009"/>
          </w:tcPr>
          <w:p>
            <w:r>
              <w:t>Menu lateral</w:t>
            </w:r>
          </w:p>
        </w:tc>
        <w:tc>
          <w:tcPr>
            <w:tcW w:type="dxa" w:w="3009"/>
          </w:tcPr>
          <w:p>
            <w:r>
              <w:t>Inclusão de botão para ocultar o menu e controle para reabri-lo. A preferência fica registrada no navegador.</w:t>
            </w:r>
          </w:p>
        </w:tc>
        <w:tc>
          <w:tcPr>
            <w:tcW w:type="dxa" w:w="3009"/>
          </w:tcPr>
          <w:p>
            <w:r>
              <w:t>Mais área útil para gráficos e cards, sem perder a navegação.</w:t>
            </w:r>
          </w:p>
        </w:tc>
      </w:tr>
      <w:tr>
        <w:tc>
          <w:tcPr>
            <w:tcW w:type="dxa" w:w="3009"/>
          </w:tcPr>
          <w:p>
            <w:r>
              <w:t>Intercâmbios</w:t>
            </w:r>
          </w:p>
        </w:tc>
        <w:tc>
          <w:tcPr>
            <w:tcW w:type="dxa" w:w="3009"/>
          </w:tcPr>
          <w:p>
            <w:r>
              <w:t>Gráfico direcional com painéis para Sul e Nordeste; recebimento acima de zero e envio abaixo da linha zero.</w:t>
            </w:r>
          </w:p>
        </w:tc>
        <w:tc>
          <w:tcPr>
            <w:tcW w:type="dxa" w:w="3009"/>
          </w:tcPr>
          <w:p>
            <w:r>
              <w:t>Leitura visual compatível com o padrão de referência e quatro séries identificadas.</w:t>
            </w:r>
          </w:p>
        </w:tc>
      </w:tr>
      <w:tr>
        <w:tc>
          <w:tcPr>
            <w:tcW w:type="dxa" w:w="3009"/>
          </w:tcPr>
          <w:p>
            <w:r>
              <w:t>Filtro de datas</w:t>
            </w:r>
          </w:p>
        </w:tc>
        <w:tc>
          <w:tcPr>
            <w:tcW w:type="dxa" w:w="3009"/>
          </w:tcPr>
          <w:p>
            <w:r>
              <w:t>Histórico completo carregado no backend e embutido nos cards; filtragem executada localmente.</w:t>
            </w:r>
          </w:p>
        </w:tc>
        <w:tc>
          <w:tcPr>
            <w:tcW w:type="dxa" w:w="3009"/>
          </w:tcPr>
          <w:p>
            <w:r>
              <w:t>Eliminação do erro Failed to fetch e da dependência de CORS no navegador.</w:t>
            </w:r>
          </w:p>
        </w:tc>
      </w:tr>
      <w:tr>
        <w:tc>
          <w:tcPr>
            <w:tcW w:type="dxa" w:w="3009"/>
          </w:tcPr>
          <w:p>
            <w:r>
              <w:t>Unidades</w:t>
            </w:r>
          </w:p>
        </w:tc>
        <w:tc>
          <w:tcPr>
            <w:tcW w:type="dxa" w:w="3009"/>
          </w:tcPr>
          <w:p>
            <w:r>
              <w:t>Mapeamento por tema aplicado a KPI, eixo, legenda e tooltip.</w:t>
            </w:r>
          </w:p>
        </w:tc>
        <w:tc>
          <w:tcPr>
            <w:tcW w:type="dxa" w:w="3009"/>
          </w:tcPr>
          <w:p>
            <w:r>
              <w:t>MW, MWmed, %, R$/MWh e demais unidades deixam de ser fixadas incorretamente.</w:t>
            </w:r>
          </w:p>
        </w:tc>
      </w:tr>
      <w:tr>
        <w:tc>
          <w:tcPr>
            <w:tcW w:type="dxa" w:w="3009"/>
          </w:tcPr>
          <w:p>
            <w:r>
              <w:t>Fonte oficial</w:t>
            </w:r>
          </w:p>
        </w:tc>
        <w:tc>
          <w:tcPr>
            <w:tcW w:type="dxa" w:w="3009"/>
          </w:tcPr>
          <w:p>
            <w:r>
              <w:t>Botão direcionado à página do dataset no catálogo ONS; downloads permanecem separados.</w:t>
            </w:r>
          </w:p>
        </w:tc>
        <w:tc>
          <w:tcPr>
            <w:tcW w:type="dxa" w:w="3009"/>
          </w:tcPr>
          <w:p>
            <w:r>
              <w:t>Rastreabilidade completa do conjunto de dados e acesso aos seus arquivos.</w:t>
            </w:r>
          </w:p>
        </w:tc>
      </w:tr>
      <w:tr>
        <w:tc>
          <w:tcPr>
            <w:tcW w:type="dxa" w:w="3009"/>
          </w:tcPr>
          <w:p>
            <w:r>
              <w:t>Empacotamento</w:t>
            </w:r>
          </w:p>
        </w:tc>
        <w:tc>
          <w:tcPr>
            <w:tcW w:type="dxa" w:w="3009"/>
          </w:tcPr>
          <w:p>
            <w:r>
              <w:t>Outputs e metadados temporários de execução removidos da cópia para GitHub.</w:t>
            </w:r>
          </w:p>
        </w:tc>
        <w:tc>
          <w:tcPr>
            <w:tcW w:type="dxa" w:w="3009"/>
          </w:tcPr>
          <w:p>
            <w:r>
              <w:t>Notebook otimizado, JSON válido e pacote ZIP abaixo de 25 MB.</w:t>
            </w:r>
          </w:p>
        </w:tc>
      </w:tr>
    </w:tbl>
    <w:p>
      <w:r>
        <w:rPr>
          <w:b/>
          <w:sz w:val="26"/>
        </w:rPr>
        <w:t>Arquitetura final e fluxo de execução</w:t>
      </w:r>
    </w:p>
    <w:p>
      <w:r>
        <w:t>A versão consolidada mantém a separação entre configuração, aquisição, normalização, processamento, visualização e apresentação. O backend consulta o catálogo CKAN do ONS, resolve os slugs, seleciona o recurso tabular mais recente e carrega os dados em DataFrames. Depois, o pipeline identifica colunas temporais e numéricas, calcula KPIs e variações, gera gráficos Plotly e monta cards HTML com dados para exportação e filtragem local.</w:t>
      </w:r>
    </w:p>
    <w:p>
      <w:r>
        <w:t>No navegador, o botão de atualização não realiza novas requisições externas. O card decodifica o CSV completo embutido pelo backend, normaliza as datas, aplica o intervalo selecionado e redesenha o gráfico. Essa decisão evita bloqueios CORS e torna o comportamento determinístico após a execução do notebook.</w:t>
      </w:r>
    </w:p>
    <w:p>
      <w:r>
        <w:rPr>
          <w:b/>
          <w:sz w:val="26"/>
        </w:rPr>
        <w:t>Visualizações e semântica das unidades</w:t>
      </w:r>
    </w:p>
    <w:p>
      <w:r>
        <w:t>O card “Intercâmbios entre Subsistemas” usa o dataset nacional do ONS e as colunas de instante, subsistema de origem, subsistema de destino e valor médio de intercâmbio. Os fluxos Sudeste→Sul e Sudeste→Nordeste são exibidos como recebimento; os fluxos inversos são representados como envio negativo. As legendas identificam explicitamente as quatro séries e a unidade MWmed.</w:t>
      </w:r>
    </w:p>
    <w:p>
      <w:r>
        <w:t>A unidade deixou de ser hardcoded no JavaScript. Cada card transmite a unidade do seu tema para o HTML, o eixo Y e o tooltip. Assim, CVU utiliza R$/MWh; armazenamento utiliza %; carga, geração e intercâmbio utilizam MW ou MWmed conforme o indicador configurado; e CMO/PLD utilizam R$/MWh.</w:t>
      </w:r>
    </w:p>
    <w:p>
      <w:r>
        <w:rPr>
          <w:b/>
          <w:sz w:val="26"/>
        </w:rPr>
        <w:t>Rastreabilidade e fontes oficiais</w:t>
      </w:r>
    </w:p>
    <w:p>
      <w:r>
        <w:t>O botão “Fonte oficial” é gerado a partir do slug do dataset e abre a página de catálogo correspondente, enquanto os botões CSV e XLSX continuam apontando para os dados exportáveis do card. Entre os links validados estão:</w:t>
      </w:r>
    </w:p>
    <w:p>
      <w:r>
        <w:t>• Portal de Dados Abertos do ONS: https://dados.ons.org.br/</w:t>
      </w:r>
    </w:p>
    <w:p>
      <w:r>
        <w:t>• Intercâmbios entre Subsistemas: https://dados.ons.org.br/dataset/intercambio-nacional</w:t>
      </w:r>
    </w:p>
    <w:p>
      <w:r>
        <w:t>• CVU Usina Térmica: https://dados.ons.org.br/dataset/cvu-usitermica</w:t>
      </w:r>
    </w:p>
    <w:p>
      <w:r>
        <w:rPr>
          <w:b/>
          <w:sz w:val="26"/>
        </w:rPr>
        <w:t>Validação da versão final</w:t>
      </w:r>
    </w:p>
    <w:p>
      <w:r>
        <w:t>A versão final foi submetida a validações estruturais e funcionais. Foram verificadas a validade do JSON do notebook, a sintaxe das células Python e HTML, a preservação das funções de aquisição e renderização, o filtro local em cinco intervalos com dados reais do ONS, os quatro sentidos do intercâmbio, as unidades em eixos e tooltips e a integridade do pacote ZIP.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t>Verificação</w:t>
            </w:r>
          </w:p>
        </w:tc>
        <w:tc>
          <w:tcPr>
            <w:tcW w:type="dxa" w:w="4513"/>
          </w:tcPr>
          <w:p>
            <w:r>
              <w:t>Resultado</w:t>
            </w:r>
          </w:p>
        </w:tc>
      </w:tr>
      <w:tr>
        <w:tc>
          <w:tcPr>
            <w:tcW w:type="dxa" w:w="4513"/>
          </w:tcPr>
          <w:p>
            <w:r>
              <w:t>Células de código preservadas</w:t>
            </w:r>
          </w:p>
        </w:tc>
        <w:tc>
          <w:tcPr>
            <w:tcW w:type="dxa" w:w="4513"/>
          </w:tcPr>
          <w:p>
            <w:r>
              <w:t>10 células; sintaxe validada</w:t>
            </w:r>
          </w:p>
        </w:tc>
      </w:tr>
      <w:tr>
        <w:tc>
          <w:tcPr>
            <w:tcW w:type="dxa" w:w="4513"/>
          </w:tcPr>
          <w:p>
            <w:r>
              <w:t>Dados reais de intercâmbio</w:t>
            </w:r>
          </w:p>
        </w:tc>
        <w:tc>
          <w:tcPr>
            <w:tcW w:type="dxa" w:w="4513"/>
          </w:tcPr>
          <w:p>
            <w:r>
              <w:t>22.848 linhas do CSV oficial testadas</w:t>
            </w:r>
          </w:p>
        </w:tc>
      </w:tr>
      <w:tr>
        <w:tc>
          <w:tcPr>
            <w:tcW w:type="dxa" w:w="4513"/>
          </w:tcPr>
          <w:p>
            <w:r>
              <w:t>Filtro de datas</w:t>
            </w:r>
          </w:p>
        </w:tc>
        <w:tc>
          <w:tcPr>
            <w:tcW w:type="dxa" w:w="4513"/>
          </w:tcPr>
          <w:p>
            <w:r>
              <w:t>Cinco intervalos válidos testados localmente</w:t>
            </w:r>
          </w:p>
        </w:tc>
      </w:tr>
      <w:tr>
        <w:tc>
          <w:tcPr>
            <w:tcW w:type="dxa" w:w="4513"/>
          </w:tcPr>
          <w:p>
            <w:r>
              <w:t>Fetch client-side no filtro</w:t>
            </w:r>
          </w:p>
        </w:tc>
        <w:tc>
          <w:tcPr>
            <w:tcW w:type="dxa" w:w="4513"/>
          </w:tcPr>
          <w:p>
            <w:r>
              <w:t>Nenhuma ocorrência no handler final</w:t>
            </w:r>
          </w:p>
        </w:tc>
      </w:tr>
      <w:tr>
        <w:tc>
          <w:tcPr>
            <w:tcW w:type="dxa" w:w="4513"/>
          </w:tcPr>
          <w:p>
            <w:r>
              <w:t>Unidades</w:t>
            </w:r>
          </w:p>
        </w:tc>
        <w:tc>
          <w:tcPr>
            <w:tcW w:type="dxa" w:w="4513"/>
          </w:tcPr>
          <w:p>
            <w:r>
              <w:t>MW, MWmed, %, R$/MWh confirmadas</w:t>
            </w:r>
          </w:p>
        </w:tc>
      </w:tr>
      <w:tr>
        <w:tc>
          <w:tcPr>
            <w:tcW w:type="dxa" w:w="4513"/>
          </w:tcPr>
          <w:p>
            <w:r>
              <w:t>Pacote GitHub</w:t>
            </w:r>
          </w:p>
        </w:tc>
        <w:tc>
          <w:tcPr>
            <w:tcW w:type="dxa" w:w="4513"/>
          </w:tcPr>
          <w:p>
            <w:r>
              <w:t>Notebook e ZIP abaixo de 25 MB; ZIP íntegro</w:t>
            </w:r>
          </w:p>
        </w:tc>
      </w:tr>
    </w:tbl>
    <w:p>
      <w:r>
        <w:rPr>
          <w:b/>
          <w:sz w:val="26"/>
        </w:rPr>
        <w:t>Notas operacionais para publicação</w:t>
      </w:r>
    </w:p>
    <w:p>
      <w:r>
        <w:t>O arquivo recomendado para versionamento é Painel_Dados_Abertos_CORE_GitHub.ipynb. A descrição resumida está em DESCRICAO_TECNICA_GITHUB.md e ambos também estão disponíveis no pacote Painel_Dados_Abertos_CORE_GitHub.zip. Para atualizar os dados, execute o notebook em ambiente com acesso HTTPS às fontes oficiais; para preservar a rastreabilidade, não substitua os slugs nem os URLs de catálogo sem revisar a origem correspondente.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akos-fvxvx0o4gkvjsjq0" Type="http://schemas.openxmlformats.org/officeDocument/2006/relationships/hyperlink" Target="https://dados.ons.org.br/dataset/?organization=ons" TargetMode="External"/><Relationship Id="rIdzlrpq3qkuycj0hbsayvco" Type="http://schemas.openxmlformats.org/officeDocument/2006/relationships/hyperlink" Target="https://dadosabertos.ccee.org.br/dataset/pld_media_diaria" TargetMode="External"/><Relationship Id="rIdggtrf5wse9pz5tv2hpnh-" Type="http://schemas.openxmlformats.org/officeDocument/2006/relationships/hyperlink" Target="https://dadosabertos.aneel.gov.br/" TargetMode="External"/><Relationship Id="rIdtbtyljeiqwgbjjeuql6qm" Type="http://schemas.openxmlformats.org/officeDocument/2006/relationships/hyperlink" Target="https://www.gov.br/aneel/" TargetMode="External"/><Relationship Id="rIdwr9bqpezwobmkoifmkckp" Type="http://schemas.openxmlformats.org/officeDocument/2006/relationships/hyperlink" Target="https://embed.windy.com/" TargetMode="External"/><Relationship Id="rId9wguutzb7_27musm4nqnd" Type="http://schemas.openxmlformats.org/officeDocument/2006/relationships/hyperlink" Target="https://denergia.com.br/login" TargetMode="External"/><Relationship Id="rIdlkgntn0gwz2xcrlvxr-rg" Type="http://schemas.openxmlformats.org/officeDocument/2006/relationships/hyperlink" Target="https://cammesaweb.cammesa.com/" TargetMode="External"/><Relationship Id="rId5bdhthctw6cdlb3glgulh" Type="http://schemas.openxmlformats.org/officeDocument/2006/relationships/hyperlink" Target="https://dados.ons.org.br/dataset/?organization=ons" TargetMode="External"/><Relationship Id="rIdnidansvhvmeh1vuzyhqlw" Type="http://schemas.openxmlformats.org/officeDocument/2006/relationships/hyperlink" Target="https://dadosabertos.ccee.org.br/dataset/pld_media_diaria" TargetMode="External"/><Relationship Id="rIdhcgphrp1ufz7pg5dgcivi" Type="http://schemas.openxmlformats.org/officeDocument/2006/relationships/hyperlink" Target="https://dadosabertos.aneel.gov.br/" TargetMode="External"/><Relationship Id="rIdfrj_nuggzmnczsmlmzyhp" Type="http://schemas.openxmlformats.org/officeDocument/2006/relationships/hyperlink" Target="https://www.gov.br/aneel/" TargetMode="External"/><Relationship Id="rIdebfelskmybup2frj4eam0" Type="http://schemas.openxmlformats.org/officeDocument/2006/relationships/hyperlink" Target="https://embed.windy.com/" TargetMode="External"/><Relationship Id="rIdydwsgl1topvdpfjsceuu0" Type="http://schemas.openxmlformats.org/officeDocument/2006/relationships/hyperlink" Target="https://cammesaweb.cammesa.com/" TargetMode="External"/><Relationship Id="rIdasx9qidmmbwlh-rfocvbc" Type="http://schemas.openxmlformats.org/officeDocument/2006/relationships/hyperlink" Target="https://denergia.com.br/login" TargetMode="External"/><Relationship Id="rIdi3cyrlev4cl4o5hl3tdmy" Type="http://schemas.openxmlformats.org/officeDocument/2006/relationships/hyperlink" Target="https://www.epe.gov.br/" TargetMode="External"/><Relationship Id="rId1jikk238aphcrxtywlzge" Type="http://schemas.openxmlformats.org/officeDocument/2006/relationships/hyperlink" Target="https://www.gov.br/mme/pt-br/assuntos/conselhos-e-comites/cnpe" TargetMode="External"/><Relationship Id="rId2cfsfpbfozsrl9ytmrx5q" Type="http://schemas.openxmlformats.org/officeDocument/2006/relationships/hyperlink" Target="https://www.gov.br/mme/pt-br/assuntos/conselhos-e-comites/cmse" TargetMode="External"/><Relationship Id="rIdubm4ihw_sv3iajnf-nus8" Type="http://schemas.openxmlformats.org/officeDocument/2006/relationships/hyperlink" Target="https://megawhat.uol.com.br/" TargetMode="External"/><Relationship Id="rId2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2026-08-25T19:53:43.073Z</dcterms:created>
  <dcterms:modified xsi:type="dcterms:W3CDTF">2026-08-25T19:53:43.073Z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