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13AE" w14:textId="77777777" w:rsidR="00570A1A" w:rsidRPr="00356445" w:rsidRDefault="00B314FA">
      <w:pPr>
        <w:pStyle w:val="Heading1"/>
        <w:rPr>
          <w:rFonts w:ascii="Times New Roman" w:hAnsi="Times New Roman" w:cs="Times New Roman"/>
          <w:color w:val="000000" w:themeColor="text1"/>
        </w:rPr>
      </w:pPr>
      <w:bookmarkStart w:id="0" w:name="healthconnect-clinic"/>
      <w:r w:rsidRPr="00356445">
        <w:rPr>
          <w:rFonts w:ascii="Times New Roman" w:hAnsi="Times New Roman" w:cs="Times New Roman"/>
          <w:color w:val="000000" w:themeColor="text1"/>
        </w:rPr>
        <w:t>HealthConnect Clinic</w:t>
      </w:r>
    </w:p>
    <w:p w14:paraId="1946CEF5" w14:textId="77777777" w:rsidR="00570A1A" w:rsidRPr="00356445" w:rsidRDefault="00B314FA">
      <w:pPr>
        <w:pStyle w:val="Heading2"/>
        <w:rPr>
          <w:rFonts w:ascii="Times New Roman" w:hAnsi="Times New Roman" w:cs="Times New Roman"/>
          <w:color w:val="000000" w:themeColor="text1"/>
        </w:rPr>
      </w:pPr>
      <w:bookmarkStart w:id="1" w:name="week-6-data-analytics-documentation"/>
      <w:r w:rsidRPr="00356445">
        <w:rPr>
          <w:rFonts w:ascii="Times New Roman" w:hAnsi="Times New Roman" w:cs="Times New Roman"/>
          <w:color w:val="000000" w:themeColor="text1"/>
        </w:rPr>
        <w:t>Week 6 Data Analytics Documentation</w:t>
      </w:r>
    </w:p>
    <w:p w14:paraId="4C7E5130" w14:textId="77777777" w:rsidR="00570A1A" w:rsidRPr="00356445" w:rsidRDefault="00B314FA">
      <w:pPr>
        <w:pStyle w:val="Heading3"/>
        <w:rPr>
          <w:rFonts w:ascii="Times New Roman" w:hAnsi="Times New Roman" w:cs="Times New Roman"/>
          <w:color w:val="000000" w:themeColor="text1"/>
        </w:rPr>
      </w:pPr>
      <w:bookmarkStart w:id="2" w:name="project-title"/>
      <w:r w:rsidRPr="00356445">
        <w:rPr>
          <w:rFonts w:ascii="Times New Roman" w:hAnsi="Times New Roman" w:cs="Times New Roman"/>
          <w:color w:val="000000" w:themeColor="text1"/>
        </w:rPr>
        <w:t>Project Title</w:t>
      </w:r>
    </w:p>
    <w:p w14:paraId="24FD8385"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b/>
          <w:bCs/>
          <w:color w:val="000000" w:themeColor="text1"/>
        </w:rPr>
        <w:t>Improving Patient Appointment Attendance and Healthcare Support Using Data and AI</w:t>
      </w:r>
    </w:p>
    <w:p w14:paraId="05464304" w14:textId="77777777" w:rsidR="00570A1A" w:rsidRPr="00356445" w:rsidRDefault="00B314FA">
      <w:pPr>
        <w:pStyle w:val="Heading1"/>
        <w:rPr>
          <w:rFonts w:ascii="Times New Roman" w:hAnsi="Times New Roman" w:cs="Times New Roman"/>
          <w:color w:val="000000" w:themeColor="text1"/>
        </w:rPr>
      </w:pPr>
      <w:bookmarkStart w:id="3" w:name="business-scenario"/>
      <w:bookmarkEnd w:id="0"/>
      <w:bookmarkEnd w:id="1"/>
      <w:bookmarkEnd w:id="2"/>
      <w:r w:rsidRPr="00356445">
        <w:rPr>
          <w:rFonts w:ascii="Times New Roman" w:hAnsi="Times New Roman" w:cs="Times New Roman"/>
          <w:color w:val="000000" w:themeColor="text1"/>
        </w:rPr>
        <w:t>1. Business Scenario</w:t>
      </w:r>
    </w:p>
    <w:p w14:paraId="7385A6C6"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HealthConnect Clinic is a fictional healthcare provider seeking to reduce missed appointments, improve patient attendance, make better use of appointment slots and provide more effective administrative support to patients.</w:t>
      </w:r>
    </w:p>
    <w:p w14:paraId="695BEE3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During Week 4, the project problem was defined and the available resources and track responsibilities were reviewed. During Week 5, the validated data preparation process was rerun, the cleaned dataset was saved and an initial Power BI dashboard was developed to provide an overview of appointment outcomes and related patterns.</w:t>
      </w:r>
    </w:p>
    <w:p w14:paraId="06CEB09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Week 6 focused on extending this existing work through deeper analysis, cross-track collaboration and validation. The objective was to identify stronger patterns associated with patient no-shows and use these findings to improve the existing analytical solution.</w:t>
      </w:r>
    </w:p>
    <w:p w14:paraId="7603DE05" w14:textId="77777777" w:rsidR="00570A1A" w:rsidRPr="00356445" w:rsidRDefault="00B314FA">
      <w:pPr>
        <w:pStyle w:val="Heading1"/>
        <w:rPr>
          <w:rFonts w:ascii="Times New Roman" w:hAnsi="Times New Roman" w:cs="Times New Roman"/>
          <w:color w:val="000000" w:themeColor="text1"/>
        </w:rPr>
      </w:pPr>
      <w:bookmarkStart w:id="4" w:name="week-6-objectives"/>
      <w:bookmarkEnd w:id="3"/>
      <w:r w:rsidRPr="00356445">
        <w:rPr>
          <w:rFonts w:ascii="Times New Roman" w:hAnsi="Times New Roman" w:cs="Times New Roman"/>
          <w:color w:val="000000" w:themeColor="text1"/>
        </w:rPr>
        <w:t>2. Week 6 Objectives</w:t>
      </w:r>
    </w:p>
    <w:p w14:paraId="0D696ECA"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main objectives for Week 6 were to:</w:t>
      </w:r>
    </w:p>
    <w:p w14:paraId="20CBF05C"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Extend the Week 5 analysis of appointment attendance.</w:t>
      </w:r>
    </w:p>
    <w:p w14:paraId="4AD0BD02"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Investigate factors associated with patient no-shows.</w:t>
      </w:r>
    </w:p>
    <w:p w14:paraId="44EFC96C"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Examine relationships between multiple appointment characteristics.</w:t>
      </w:r>
    </w:p>
    <w:p w14:paraId="3E0F09F4"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Identify patterns that could support targeted interventions.</w:t>
      </w:r>
    </w:p>
    <w:p w14:paraId="61FDA7AF"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Improve the interpretation of the existing Power BI dashboard.</w:t>
      </w:r>
    </w:p>
    <w:p w14:paraId="5B16E0CE"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Collaborate with the Data Science track as required by the project.</w:t>
      </w:r>
    </w:p>
    <w:p w14:paraId="17BB1ED2"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Compare and validate relevant outputs from both tracks.</w:t>
      </w:r>
    </w:p>
    <w:p w14:paraId="009A2BEB"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Document technical and analytical decisions.</w:t>
      </w:r>
    </w:p>
    <w:p w14:paraId="359390BE" w14:textId="77777777" w:rsidR="00570A1A" w:rsidRPr="00356445" w:rsidRDefault="00B314FA">
      <w:pPr>
        <w:pStyle w:val="Compact"/>
        <w:numPr>
          <w:ilvl w:val="0"/>
          <w:numId w:val="2"/>
        </w:numPr>
        <w:rPr>
          <w:rFonts w:ascii="Times New Roman" w:hAnsi="Times New Roman" w:cs="Times New Roman"/>
          <w:color w:val="000000" w:themeColor="text1"/>
        </w:rPr>
      </w:pPr>
      <w:r w:rsidRPr="00356445">
        <w:rPr>
          <w:rFonts w:ascii="Times New Roman" w:hAnsi="Times New Roman" w:cs="Times New Roman"/>
          <w:color w:val="000000" w:themeColor="text1"/>
        </w:rPr>
        <w:t>Identify limitations and determine readiness for the next testing stage.</w:t>
      </w:r>
    </w:p>
    <w:p w14:paraId="0AA616A9" w14:textId="77777777" w:rsidR="00570A1A" w:rsidRPr="00356445" w:rsidRDefault="00B314FA">
      <w:pPr>
        <w:pStyle w:val="Heading1"/>
        <w:rPr>
          <w:rFonts w:ascii="Times New Roman" w:hAnsi="Times New Roman" w:cs="Times New Roman"/>
          <w:color w:val="000000" w:themeColor="text1"/>
        </w:rPr>
      </w:pPr>
      <w:bookmarkStart w:id="5" w:name="data-preparation-and-analysis-setup"/>
      <w:bookmarkEnd w:id="4"/>
      <w:r w:rsidRPr="00356445">
        <w:rPr>
          <w:rFonts w:ascii="Times New Roman" w:hAnsi="Times New Roman" w:cs="Times New Roman"/>
          <w:color w:val="000000" w:themeColor="text1"/>
        </w:rPr>
        <w:t>3. Data Preparation and Analysis Setup</w:t>
      </w:r>
    </w:p>
    <w:p w14:paraId="20C013DC"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Week 6 analysis used the cleaned HealthConnect appointment dataset produced during the earlier project stages.</w:t>
      </w:r>
    </w:p>
    <w:p w14:paraId="03C696D3"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dataset contains </w:t>
      </w:r>
      <w:r w:rsidRPr="00356445">
        <w:rPr>
          <w:rFonts w:ascii="Times New Roman" w:hAnsi="Times New Roman" w:cs="Times New Roman"/>
          <w:b/>
          <w:bCs/>
          <w:color w:val="000000" w:themeColor="text1"/>
        </w:rPr>
        <w:t>5,000 appointment records and 18 variables</w:t>
      </w:r>
      <w:r w:rsidRPr="00356445">
        <w:rPr>
          <w:rFonts w:ascii="Times New Roman" w:hAnsi="Times New Roman" w:cs="Times New Roman"/>
          <w:color w:val="000000" w:themeColor="text1"/>
        </w:rPr>
        <w:t>.</w:t>
      </w:r>
    </w:p>
    <w:p w14:paraId="7494BD18"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The appointment outcome variable contains three categories:</w:t>
      </w:r>
    </w:p>
    <w:p w14:paraId="09273483" w14:textId="77777777" w:rsidR="00570A1A" w:rsidRPr="00356445" w:rsidRDefault="00B314FA">
      <w:pPr>
        <w:pStyle w:val="Compact"/>
        <w:numPr>
          <w:ilvl w:val="0"/>
          <w:numId w:val="3"/>
        </w:numPr>
        <w:rPr>
          <w:rFonts w:ascii="Times New Roman" w:hAnsi="Times New Roman" w:cs="Times New Roman"/>
          <w:color w:val="000000" w:themeColor="text1"/>
        </w:rPr>
      </w:pPr>
      <w:r w:rsidRPr="00356445">
        <w:rPr>
          <w:rFonts w:ascii="Times New Roman" w:hAnsi="Times New Roman" w:cs="Times New Roman"/>
          <w:color w:val="000000" w:themeColor="text1"/>
        </w:rPr>
        <w:t>Attended</w:t>
      </w:r>
    </w:p>
    <w:p w14:paraId="4016438E" w14:textId="77777777" w:rsidR="00570A1A" w:rsidRPr="00356445" w:rsidRDefault="00B314FA">
      <w:pPr>
        <w:pStyle w:val="Compact"/>
        <w:numPr>
          <w:ilvl w:val="0"/>
          <w:numId w:val="3"/>
        </w:numPr>
        <w:rPr>
          <w:rFonts w:ascii="Times New Roman" w:hAnsi="Times New Roman" w:cs="Times New Roman"/>
          <w:color w:val="000000" w:themeColor="text1"/>
        </w:rPr>
      </w:pPr>
      <w:r w:rsidRPr="00356445">
        <w:rPr>
          <w:rFonts w:ascii="Times New Roman" w:hAnsi="Times New Roman" w:cs="Times New Roman"/>
          <w:color w:val="000000" w:themeColor="text1"/>
        </w:rPr>
        <w:t>No-show</w:t>
      </w:r>
    </w:p>
    <w:p w14:paraId="312A80BE" w14:textId="77777777" w:rsidR="00570A1A" w:rsidRPr="00356445" w:rsidRDefault="00B314FA">
      <w:pPr>
        <w:pStyle w:val="Compact"/>
        <w:numPr>
          <w:ilvl w:val="0"/>
          <w:numId w:val="3"/>
        </w:numPr>
        <w:rPr>
          <w:rFonts w:ascii="Times New Roman" w:hAnsi="Times New Roman" w:cs="Times New Roman"/>
          <w:color w:val="000000" w:themeColor="text1"/>
        </w:rPr>
      </w:pPr>
      <w:r w:rsidRPr="00356445">
        <w:rPr>
          <w:rFonts w:ascii="Times New Roman" w:hAnsi="Times New Roman" w:cs="Times New Roman"/>
          <w:color w:val="000000" w:themeColor="text1"/>
        </w:rPr>
        <w:t>Cancelled</w:t>
      </w:r>
    </w:p>
    <w:p w14:paraId="4699D0EA"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cleaned dataset was loaded into the analysis environment and the relevant date fields were converted to datetime format after the CSV reload represented them as object data types.</w:t>
      </w:r>
    </w:p>
    <w:p w14:paraId="15F07D53"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analysis also used grouped variables developed during the earlier analysis, including:</w:t>
      </w:r>
    </w:p>
    <w:p w14:paraId="4604843C" w14:textId="77777777" w:rsidR="00570A1A" w:rsidRPr="00356445" w:rsidRDefault="00B314FA">
      <w:pPr>
        <w:pStyle w:val="Heading3"/>
        <w:rPr>
          <w:rFonts w:ascii="Times New Roman" w:hAnsi="Times New Roman" w:cs="Times New Roman"/>
          <w:color w:val="000000" w:themeColor="text1"/>
        </w:rPr>
      </w:pPr>
      <w:bookmarkStart w:id="6" w:name="booking-lead-time-groups"/>
      <w:r w:rsidRPr="00356445">
        <w:rPr>
          <w:rFonts w:ascii="Times New Roman" w:hAnsi="Times New Roman" w:cs="Times New Roman"/>
          <w:color w:val="000000" w:themeColor="text1"/>
        </w:rPr>
        <w:t>Booking Lead-Time Groups</w:t>
      </w:r>
    </w:p>
    <w:tbl>
      <w:tblPr>
        <w:tblStyle w:val="Table"/>
        <w:tblW w:w="0" w:type="auto"/>
        <w:tblLook w:val="0020" w:firstRow="1" w:lastRow="0" w:firstColumn="0" w:lastColumn="0" w:noHBand="0" w:noVBand="0"/>
      </w:tblPr>
      <w:tblGrid>
        <w:gridCol w:w="1956"/>
        <w:gridCol w:w="2683"/>
      </w:tblGrid>
      <w:tr w:rsidR="00356445" w:rsidRPr="00356445" w14:paraId="4571AC09" w14:textId="77777777" w:rsidTr="00570A1A">
        <w:trPr>
          <w:cnfStyle w:val="100000000000" w:firstRow="1" w:lastRow="0" w:firstColumn="0" w:lastColumn="0" w:oddVBand="0" w:evenVBand="0" w:oddHBand="0" w:evenHBand="0" w:firstRowFirstColumn="0" w:firstRowLastColumn="0" w:lastRowFirstColumn="0" w:lastRowLastColumn="0"/>
          <w:tblHeader/>
        </w:trPr>
        <w:tc>
          <w:tcPr>
            <w:tcW w:w="0" w:type="auto"/>
          </w:tcPr>
          <w:p w14:paraId="3651DCA5"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Lead-Time Group</w:t>
            </w:r>
          </w:p>
        </w:tc>
        <w:tc>
          <w:tcPr>
            <w:tcW w:w="0" w:type="auto"/>
          </w:tcPr>
          <w:p w14:paraId="7D8A8087"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Number of Appointments</w:t>
            </w:r>
          </w:p>
        </w:tc>
      </w:tr>
      <w:tr w:rsidR="00356445" w:rsidRPr="00356445" w14:paraId="371882AB" w14:textId="77777777">
        <w:tc>
          <w:tcPr>
            <w:tcW w:w="0" w:type="auto"/>
          </w:tcPr>
          <w:p w14:paraId="34E1ABD0"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0–7 days</w:t>
            </w:r>
          </w:p>
        </w:tc>
        <w:tc>
          <w:tcPr>
            <w:tcW w:w="0" w:type="auto"/>
          </w:tcPr>
          <w:p w14:paraId="50891C89"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640</w:t>
            </w:r>
          </w:p>
        </w:tc>
      </w:tr>
      <w:tr w:rsidR="00356445" w:rsidRPr="00356445" w14:paraId="3E58220B" w14:textId="77777777">
        <w:tc>
          <w:tcPr>
            <w:tcW w:w="0" w:type="auto"/>
          </w:tcPr>
          <w:p w14:paraId="4259BE3A"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8–14 days</w:t>
            </w:r>
          </w:p>
        </w:tc>
        <w:tc>
          <w:tcPr>
            <w:tcW w:w="0" w:type="auto"/>
          </w:tcPr>
          <w:p w14:paraId="07E38453"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602</w:t>
            </w:r>
          </w:p>
        </w:tc>
      </w:tr>
      <w:tr w:rsidR="00356445" w:rsidRPr="00356445" w14:paraId="307E05EE" w14:textId="77777777">
        <w:tc>
          <w:tcPr>
            <w:tcW w:w="0" w:type="auto"/>
          </w:tcPr>
          <w:p w14:paraId="561EDB2F"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15–30 days</w:t>
            </w:r>
          </w:p>
        </w:tc>
        <w:tc>
          <w:tcPr>
            <w:tcW w:w="0" w:type="auto"/>
          </w:tcPr>
          <w:p w14:paraId="78CB7615"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1,333</w:t>
            </w:r>
          </w:p>
        </w:tc>
      </w:tr>
      <w:tr w:rsidR="00356445" w:rsidRPr="00356445" w14:paraId="2ACFE67B" w14:textId="77777777">
        <w:tc>
          <w:tcPr>
            <w:tcW w:w="0" w:type="auto"/>
          </w:tcPr>
          <w:p w14:paraId="6DB65081"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31–45 days</w:t>
            </w:r>
          </w:p>
        </w:tc>
        <w:tc>
          <w:tcPr>
            <w:tcW w:w="0" w:type="auto"/>
          </w:tcPr>
          <w:p w14:paraId="063B44ED"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1,258</w:t>
            </w:r>
          </w:p>
        </w:tc>
      </w:tr>
      <w:tr w:rsidR="00356445" w:rsidRPr="00356445" w14:paraId="4A2B5FAF" w14:textId="77777777">
        <w:tc>
          <w:tcPr>
            <w:tcW w:w="0" w:type="auto"/>
          </w:tcPr>
          <w:p w14:paraId="04C9C0DF"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46–60 days</w:t>
            </w:r>
          </w:p>
        </w:tc>
        <w:tc>
          <w:tcPr>
            <w:tcW w:w="0" w:type="auto"/>
          </w:tcPr>
          <w:p w14:paraId="4AF8E9BA"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1,167</w:t>
            </w:r>
          </w:p>
        </w:tc>
      </w:tr>
    </w:tbl>
    <w:p w14:paraId="7D02919D" w14:textId="77777777" w:rsidR="00570A1A" w:rsidRPr="00356445" w:rsidRDefault="00B314FA">
      <w:pPr>
        <w:pStyle w:val="Heading3"/>
        <w:rPr>
          <w:rFonts w:ascii="Times New Roman" w:hAnsi="Times New Roman" w:cs="Times New Roman"/>
          <w:color w:val="000000" w:themeColor="text1"/>
        </w:rPr>
      </w:pPr>
      <w:bookmarkStart w:id="7" w:name="previous-no-show-groups"/>
      <w:bookmarkEnd w:id="6"/>
      <w:r w:rsidRPr="00356445">
        <w:rPr>
          <w:rFonts w:ascii="Times New Roman" w:hAnsi="Times New Roman" w:cs="Times New Roman"/>
          <w:color w:val="000000" w:themeColor="text1"/>
        </w:rPr>
        <w:t>Previous No-Show Groups</w:t>
      </w:r>
    </w:p>
    <w:p w14:paraId="66993A74"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Previous no-show history was grouped into:</w:t>
      </w:r>
    </w:p>
    <w:p w14:paraId="1F646F40" w14:textId="77777777" w:rsidR="00570A1A" w:rsidRPr="00356445" w:rsidRDefault="00B314FA">
      <w:pPr>
        <w:pStyle w:val="Compact"/>
        <w:numPr>
          <w:ilvl w:val="0"/>
          <w:numId w:val="4"/>
        </w:numPr>
        <w:rPr>
          <w:rFonts w:ascii="Times New Roman" w:hAnsi="Times New Roman" w:cs="Times New Roman"/>
          <w:color w:val="000000" w:themeColor="text1"/>
        </w:rPr>
      </w:pPr>
      <w:r w:rsidRPr="00356445">
        <w:rPr>
          <w:rFonts w:ascii="Times New Roman" w:hAnsi="Times New Roman" w:cs="Times New Roman"/>
          <w:color w:val="000000" w:themeColor="text1"/>
        </w:rPr>
        <w:t>0 previous no-shows</w:t>
      </w:r>
    </w:p>
    <w:p w14:paraId="6B0CAE6F" w14:textId="77777777" w:rsidR="00570A1A" w:rsidRPr="00356445" w:rsidRDefault="00B314FA">
      <w:pPr>
        <w:pStyle w:val="Compact"/>
        <w:numPr>
          <w:ilvl w:val="0"/>
          <w:numId w:val="4"/>
        </w:numPr>
        <w:rPr>
          <w:rFonts w:ascii="Times New Roman" w:hAnsi="Times New Roman" w:cs="Times New Roman"/>
          <w:color w:val="000000" w:themeColor="text1"/>
        </w:rPr>
      </w:pPr>
      <w:r w:rsidRPr="00356445">
        <w:rPr>
          <w:rFonts w:ascii="Times New Roman" w:hAnsi="Times New Roman" w:cs="Times New Roman"/>
          <w:color w:val="000000" w:themeColor="text1"/>
        </w:rPr>
        <w:t>1 previous no-show</w:t>
      </w:r>
    </w:p>
    <w:p w14:paraId="608CBD67" w14:textId="77777777" w:rsidR="00570A1A" w:rsidRPr="00356445" w:rsidRDefault="00B314FA">
      <w:pPr>
        <w:pStyle w:val="Compact"/>
        <w:numPr>
          <w:ilvl w:val="0"/>
          <w:numId w:val="4"/>
        </w:numPr>
        <w:rPr>
          <w:rFonts w:ascii="Times New Roman" w:hAnsi="Times New Roman" w:cs="Times New Roman"/>
          <w:color w:val="000000" w:themeColor="text1"/>
        </w:rPr>
      </w:pPr>
      <w:r w:rsidRPr="00356445">
        <w:rPr>
          <w:rFonts w:ascii="Times New Roman" w:hAnsi="Times New Roman" w:cs="Times New Roman"/>
          <w:color w:val="000000" w:themeColor="text1"/>
        </w:rPr>
        <w:t>2+ previous no-shows</w:t>
      </w:r>
    </w:p>
    <w:p w14:paraId="124AF39C"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Week 6 analysis used these groups to investigate whether previous missed appointments were associated with future no-show behaviour.</w:t>
      </w:r>
    </w:p>
    <w:p w14:paraId="51B8EEBA" w14:textId="77777777" w:rsidR="00570A1A" w:rsidRPr="00356445" w:rsidRDefault="00B314FA">
      <w:pPr>
        <w:pStyle w:val="Heading1"/>
        <w:rPr>
          <w:rFonts w:ascii="Times New Roman" w:hAnsi="Times New Roman" w:cs="Times New Roman"/>
          <w:color w:val="000000" w:themeColor="text1"/>
        </w:rPr>
      </w:pPr>
      <w:bookmarkStart w:id="8" w:name="week-6-analysis-and-findings"/>
      <w:bookmarkEnd w:id="5"/>
      <w:bookmarkEnd w:id="7"/>
      <w:r w:rsidRPr="00356445">
        <w:rPr>
          <w:rFonts w:ascii="Times New Roman" w:hAnsi="Times New Roman" w:cs="Times New Roman"/>
          <w:color w:val="000000" w:themeColor="text1"/>
        </w:rPr>
        <w:t>4. Week 6 Analysis and Findings</w:t>
      </w:r>
    </w:p>
    <w:p w14:paraId="3EAB2A8A" w14:textId="77777777" w:rsidR="00570A1A" w:rsidRPr="00356445" w:rsidRDefault="00B314FA">
      <w:pPr>
        <w:pStyle w:val="Heading2"/>
        <w:rPr>
          <w:rFonts w:ascii="Times New Roman" w:hAnsi="Times New Roman" w:cs="Times New Roman"/>
          <w:color w:val="000000" w:themeColor="text1"/>
        </w:rPr>
      </w:pPr>
      <w:bookmarkStart w:id="9" w:name="overall-appointment-outcomes"/>
      <w:r w:rsidRPr="00356445">
        <w:rPr>
          <w:rFonts w:ascii="Times New Roman" w:hAnsi="Times New Roman" w:cs="Times New Roman"/>
          <w:color w:val="000000" w:themeColor="text1"/>
        </w:rPr>
        <w:t>4.1 Overall Appointment Outcomes</w:t>
      </w:r>
    </w:p>
    <w:p w14:paraId="478BC939"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dataset contained:</w:t>
      </w:r>
    </w:p>
    <w:p w14:paraId="58B3686C" w14:textId="77777777" w:rsidR="00570A1A" w:rsidRPr="00356445" w:rsidRDefault="00B314FA">
      <w:pPr>
        <w:pStyle w:val="Compact"/>
        <w:numPr>
          <w:ilvl w:val="0"/>
          <w:numId w:val="5"/>
        </w:numPr>
        <w:rPr>
          <w:rFonts w:ascii="Times New Roman" w:hAnsi="Times New Roman" w:cs="Times New Roman"/>
          <w:color w:val="000000" w:themeColor="text1"/>
        </w:rPr>
      </w:pPr>
      <w:r w:rsidRPr="00356445">
        <w:rPr>
          <w:rFonts w:ascii="Times New Roman" w:hAnsi="Times New Roman" w:cs="Times New Roman"/>
          <w:b/>
          <w:bCs/>
          <w:color w:val="000000" w:themeColor="text1"/>
        </w:rPr>
        <w:t>2,423 no-show appointments – 48.46%</w:t>
      </w:r>
    </w:p>
    <w:p w14:paraId="75B9D378" w14:textId="77777777" w:rsidR="00570A1A" w:rsidRPr="00356445" w:rsidRDefault="00B314FA">
      <w:pPr>
        <w:pStyle w:val="Compact"/>
        <w:numPr>
          <w:ilvl w:val="0"/>
          <w:numId w:val="5"/>
        </w:numPr>
        <w:rPr>
          <w:rFonts w:ascii="Times New Roman" w:hAnsi="Times New Roman" w:cs="Times New Roman"/>
          <w:color w:val="000000" w:themeColor="text1"/>
        </w:rPr>
      </w:pPr>
      <w:r w:rsidRPr="00356445">
        <w:rPr>
          <w:rFonts w:ascii="Times New Roman" w:hAnsi="Times New Roman" w:cs="Times New Roman"/>
          <w:b/>
          <w:bCs/>
          <w:color w:val="000000" w:themeColor="text1"/>
        </w:rPr>
        <w:t>2,314 attended appointments – 46.28%</w:t>
      </w:r>
    </w:p>
    <w:p w14:paraId="74F2936F" w14:textId="77777777" w:rsidR="00570A1A" w:rsidRPr="00356445" w:rsidRDefault="00B314FA">
      <w:pPr>
        <w:pStyle w:val="Compact"/>
        <w:numPr>
          <w:ilvl w:val="0"/>
          <w:numId w:val="5"/>
        </w:numPr>
        <w:rPr>
          <w:rFonts w:ascii="Times New Roman" w:hAnsi="Times New Roman" w:cs="Times New Roman"/>
          <w:color w:val="000000" w:themeColor="text1"/>
        </w:rPr>
      </w:pPr>
      <w:r w:rsidRPr="00356445">
        <w:rPr>
          <w:rFonts w:ascii="Times New Roman" w:hAnsi="Times New Roman" w:cs="Times New Roman"/>
          <w:b/>
          <w:bCs/>
          <w:color w:val="000000" w:themeColor="text1"/>
        </w:rPr>
        <w:t>263 cancelled appointments – 5.26%</w:t>
      </w:r>
    </w:p>
    <w:p w14:paraId="190EF872"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For the Data Analytics solution, the no-show rate was calculated using all scheduled appointments:</w:t>
      </w:r>
    </w:p>
    <w:p w14:paraId="6E5DEF46" w14:textId="77777777" w:rsidR="00570A1A" w:rsidRDefault="00B314FA">
      <w:pPr>
        <w:pStyle w:val="BodyText"/>
        <w:rPr>
          <w:rFonts w:ascii="Times New Roman" w:hAnsi="Times New Roman" w:cs="Times New Roman"/>
          <w:b/>
          <w:bCs/>
          <w:color w:val="000000" w:themeColor="text1"/>
        </w:rPr>
      </w:pPr>
      <w:r w:rsidRPr="00356445">
        <w:rPr>
          <w:rFonts w:ascii="Times New Roman" w:hAnsi="Times New Roman" w:cs="Times New Roman"/>
          <w:b/>
          <w:bCs/>
          <w:color w:val="000000" w:themeColor="text1"/>
        </w:rPr>
        <w:t>No-Show Rate = No-Show Appointments ÷ Total Appointments × 100</w:t>
      </w:r>
    </w:p>
    <w:p w14:paraId="0896C11E" w14:textId="77777777" w:rsidR="007639C0" w:rsidRPr="00356445" w:rsidRDefault="007639C0">
      <w:pPr>
        <w:pStyle w:val="BodyText"/>
        <w:rPr>
          <w:rFonts w:ascii="Times New Roman" w:hAnsi="Times New Roman" w:cs="Times New Roman"/>
          <w:color w:val="000000" w:themeColor="text1"/>
        </w:rPr>
      </w:pPr>
    </w:p>
    <w:p w14:paraId="24B143AC"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Therefore:</w:t>
      </w:r>
    </w:p>
    <w:p w14:paraId="3F7DDF0C"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2,423 ÷ 5,000 × 100 = 48.46%</w:t>
      </w:r>
    </w:p>
    <w:p w14:paraId="5AE2A6B9"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definition was retained throughout the Data Analytics analysis.</w:t>
      </w:r>
    </w:p>
    <w:p w14:paraId="0DAF6687" w14:textId="77777777" w:rsidR="00570A1A" w:rsidRPr="00356445" w:rsidRDefault="00B314FA">
      <w:pPr>
        <w:pStyle w:val="Heading2"/>
        <w:rPr>
          <w:rFonts w:ascii="Times New Roman" w:hAnsi="Times New Roman" w:cs="Times New Roman"/>
          <w:color w:val="000000" w:themeColor="text1"/>
        </w:rPr>
      </w:pPr>
      <w:bookmarkStart w:id="10" w:name="booking-lead-time-and-no-show-behaviour"/>
      <w:bookmarkEnd w:id="9"/>
      <w:r w:rsidRPr="00356445">
        <w:rPr>
          <w:rFonts w:ascii="Times New Roman" w:hAnsi="Times New Roman" w:cs="Times New Roman"/>
          <w:color w:val="000000" w:themeColor="text1"/>
        </w:rPr>
        <w:t>4.2 Booking Lead Time and No-Show Behaviour</w:t>
      </w:r>
    </w:p>
    <w:p w14:paraId="1CFD0AE8"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analysis examined whether the length of time between booking and appointment was associated with no-show behaviour.</w:t>
      </w:r>
    </w:p>
    <w:tbl>
      <w:tblPr>
        <w:tblStyle w:val="Table"/>
        <w:tblW w:w="0" w:type="auto"/>
        <w:tblLook w:val="0020" w:firstRow="1" w:lastRow="0" w:firstColumn="0" w:lastColumn="0" w:noHBand="0" w:noVBand="0"/>
      </w:tblPr>
      <w:tblGrid>
        <w:gridCol w:w="2149"/>
        <w:gridCol w:w="1636"/>
      </w:tblGrid>
      <w:tr w:rsidR="00356445" w:rsidRPr="00356445" w14:paraId="63413921" w14:textId="77777777" w:rsidTr="00570A1A">
        <w:trPr>
          <w:cnfStyle w:val="100000000000" w:firstRow="1" w:lastRow="0" w:firstColumn="0" w:lastColumn="0" w:oddVBand="0" w:evenVBand="0" w:oddHBand="0" w:evenHBand="0" w:firstRowFirstColumn="0" w:firstRowLastColumn="0" w:lastRowFirstColumn="0" w:lastRowLastColumn="0"/>
          <w:tblHeader/>
        </w:trPr>
        <w:tc>
          <w:tcPr>
            <w:tcW w:w="0" w:type="auto"/>
          </w:tcPr>
          <w:p w14:paraId="32983329"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Booking Lead Time</w:t>
            </w:r>
          </w:p>
        </w:tc>
        <w:tc>
          <w:tcPr>
            <w:tcW w:w="0" w:type="auto"/>
          </w:tcPr>
          <w:p w14:paraId="13EF6D4F"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No-Show Rate</w:t>
            </w:r>
          </w:p>
        </w:tc>
      </w:tr>
      <w:tr w:rsidR="00356445" w:rsidRPr="00356445" w14:paraId="0A5CDEE5" w14:textId="77777777">
        <w:tc>
          <w:tcPr>
            <w:tcW w:w="0" w:type="auto"/>
          </w:tcPr>
          <w:p w14:paraId="58398120"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0–7 days</w:t>
            </w:r>
          </w:p>
        </w:tc>
        <w:tc>
          <w:tcPr>
            <w:tcW w:w="0" w:type="auto"/>
          </w:tcPr>
          <w:p w14:paraId="311B962C"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27.81%</w:t>
            </w:r>
          </w:p>
        </w:tc>
      </w:tr>
      <w:tr w:rsidR="00356445" w:rsidRPr="00356445" w14:paraId="4AE4F4E5" w14:textId="77777777">
        <w:tc>
          <w:tcPr>
            <w:tcW w:w="0" w:type="auto"/>
          </w:tcPr>
          <w:p w14:paraId="27DFA08E"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8–14 days</w:t>
            </w:r>
          </w:p>
        </w:tc>
        <w:tc>
          <w:tcPr>
            <w:tcW w:w="0" w:type="auto"/>
          </w:tcPr>
          <w:p w14:paraId="491F2540"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33.55%</w:t>
            </w:r>
          </w:p>
        </w:tc>
      </w:tr>
      <w:tr w:rsidR="00356445" w:rsidRPr="00356445" w14:paraId="460F40F2" w14:textId="77777777">
        <w:tc>
          <w:tcPr>
            <w:tcW w:w="0" w:type="auto"/>
          </w:tcPr>
          <w:p w14:paraId="4C93DD91"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15–30 days</w:t>
            </w:r>
          </w:p>
        </w:tc>
        <w:tc>
          <w:tcPr>
            <w:tcW w:w="0" w:type="auto"/>
          </w:tcPr>
          <w:p w14:paraId="5FA7DE7D"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43.21%</w:t>
            </w:r>
          </w:p>
        </w:tc>
      </w:tr>
      <w:tr w:rsidR="00356445" w:rsidRPr="00356445" w14:paraId="6B2B3342" w14:textId="77777777">
        <w:tc>
          <w:tcPr>
            <w:tcW w:w="0" w:type="auto"/>
          </w:tcPr>
          <w:p w14:paraId="523B4E18"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31–45 days</w:t>
            </w:r>
          </w:p>
        </w:tc>
        <w:tc>
          <w:tcPr>
            <w:tcW w:w="0" w:type="auto"/>
          </w:tcPr>
          <w:p w14:paraId="482FC1D0"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53.82%</w:t>
            </w:r>
          </w:p>
        </w:tc>
      </w:tr>
      <w:tr w:rsidR="00356445" w:rsidRPr="00356445" w14:paraId="35DFBD2E" w14:textId="77777777">
        <w:tc>
          <w:tcPr>
            <w:tcW w:w="0" w:type="auto"/>
          </w:tcPr>
          <w:p w14:paraId="735A5DFD"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46–60 days</w:t>
            </w:r>
          </w:p>
        </w:tc>
        <w:tc>
          <w:tcPr>
            <w:tcW w:w="0" w:type="auto"/>
          </w:tcPr>
          <w:p w14:paraId="6CD4AC37"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67.69%</w:t>
            </w:r>
          </w:p>
        </w:tc>
      </w:tr>
    </w:tbl>
    <w:p w14:paraId="636969A5"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results showed a clear upward pattern.</w:t>
      </w:r>
    </w:p>
    <w:p w14:paraId="5E06DA46"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Appointments booked </w:t>
      </w:r>
      <w:r w:rsidRPr="00356445">
        <w:rPr>
          <w:rFonts w:ascii="Times New Roman" w:hAnsi="Times New Roman" w:cs="Times New Roman"/>
          <w:b/>
          <w:bCs/>
          <w:color w:val="000000" w:themeColor="text1"/>
        </w:rPr>
        <w:t>46–60 days in advance had the highest no-show rate at 67.69%</w:t>
      </w:r>
      <w:r w:rsidRPr="00356445">
        <w:rPr>
          <w:rFonts w:ascii="Times New Roman" w:hAnsi="Times New Roman" w:cs="Times New Roman"/>
          <w:color w:val="000000" w:themeColor="text1"/>
        </w:rPr>
        <w:t xml:space="preserve">, while appointments booked </w:t>
      </w:r>
      <w:r w:rsidRPr="00356445">
        <w:rPr>
          <w:rFonts w:ascii="Times New Roman" w:hAnsi="Times New Roman" w:cs="Times New Roman"/>
          <w:b/>
          <w:bCs/>
          <w:color w:val="000000" w:themeColor="text1"/>
        </w:rPr>
        <w:t>0–7 days in advance had the lowest rate at 27.81%</w:t>
      </w:r>
      <w:r w:rsidRPr="00356445">
        <w:rPr>
          <w:rFonts w:ascii="Times New Roman" w:hAnsi="Times New Roman" w:cs="Times New Roman"/>
          <w:color w:val="000000" w:themeColor="text1"/>
        </w:rPr>
        <w:t>.</w:t>
      </w:r>
    </w:p>
    <w:p w14:paraId="47F08885"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suggests that longer booking lead times are associated with increased no-show behaviour.</w:t>
      </w:r>
    </w:p>
    <w:p w14:paraId="71B22F0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finding does not establish that longer lead time directly causes patients to miss appointments, but it identifies lead time as a variable that may be useful when developing reminder or follow-up strategies.</w:t>
      </w:r>
    </w:p>
    <w:p w14:paraId="6801AFFE" w14:textId="77777777" w:rsidR="00570A1A" w:rsidRPr="00356445" w:rsidRDefault="00B314FA">
      <w:pPr>
        <w:pStyle w:val="Heading1"/>
        <w:rPr>
          <w:rFonts w:ascii="Times New Roman" w:hAnsi="Times New Roman" w:cs="Times New Roman"/>
          <w:color w:val="000000" w:themeColor="text1"/>
        </w:rPr>
      </w:pPr>
      <w:bookmarkStart w:id="11" w:name="previous-no-show-history"/>
      <w:bookmarkEnd w:id="8"/>
      <w:bookmarkEnd w:id="10"/>
      <w:r w:rsidRPr="00356445">
        <w:rPr>
          <w:rFonts w:ascii="Times New Roman" w:hAnsi="Times New Roman" w:cs="Times New Roman"/>
          <w:color w:val="000000" w:themeColor="text1"/>
        </w:rPr>
        <w:t>5. Previous No-Show History</w:t>
      </w:r>
    </w:p>
    <w:p w14:paraId="23C99936"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Previous no-show history was investigated to determine whether patients who had previously missed appointments were more likely to miss future appointments.</w:t>
      </w:r>
    </w:p>
    <w:p w14:paraId="080782B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grouped analysis showed increasing no-show behaviour as previous no-show history increased.</w:t>
      </w:r>
    </w:p>
    <w:p w14:paraId="232E4EA5"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results supported the use of previous attendance behaviour as an important variable for identifying higher-risk appointment groups.</w:t>
      </w:r>
    </w:p>
    <w:p w14:paraId="428BD134"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strongest pattern became more evident when previous no-show history was analysed together with booking lead time.</w:t>
      </w:r>
    </w:p>
    <w:p w14:paraId="6B4816C4" w14:textId="77777777" w:rsidR="00570A1A" w:rsidRPr="00356445" w:rsidRDefault="00B314FA">
      <w:pPr>
        <w:pStyle w:val="Heading1"/>
        <w:rPr>
          <w:rFonts w:ascii="Times New Roman" w:hAnsi="Times New Roman" w:cs="Times New Roman"/>
          <w:color w:val="000000" w:themeColor="text1"/>
        </w:rPr>
      </w:pPr>
      <w:bookmarkStart w:id="12" w:name="lead-time-previous-no-show-history"/>
      <w:bookmarkEnd w:id="11"/>
      <w:r w:rsidRPr="00356445">
        <w:rPr>
          <w:rFonts w:ascii="Times New Roman" w:hAnsi="Times New Roman" w:cs="Times New Roman"/>
          <w:color w:val="000000" w:themeColor="text1"/>
        </w:rPr>
        <w:t>6. Lead Time × Previous No-Show History</w:t>
      </w:r>
    </w:p>
    <w:p w14:paraId="479E4A00"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A cross-analysis was conducted between booking lead time and previous no-show history.</w:t>
      </w:r>
    </w:p>
    <w:tbl>
      <w:tblPr>
        <w:tblStyle w:val="Table"/>
        <w:tblW w:w="5000" w:type="pct"/>
        <w:tblLayout w:type="fixed"/>
        <w:tblLook w:val="0020" w:firstRow="1" w:lastRow="0" w:firstColumn="0" w:lastColumn="0" w:noHBand="0" w:noVBand="0"/>
      </w:tblPr>
      <w:tblGrid>
        <w:gridCol w:w="1872"/>
        <w:gridCol w:w="2496"/>
        <w:gridCol w:w="2496"/>
        <w:gridCol w:w="2496"/>
      </w:tblGrid>
      <w:tr w:rsidR="00356445" w:rsidRPr="00356445" w14:paraId="1CCB1D85" w14:textId="77777777" w:rsidTr="00570A1A">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89B1F3"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Lead Time</w:t>
            </w:r>
          </w:p>
        </w:tc>
        <w:tc>
          <w:tcPr>
            <w:tcW w:w="2112" w:type="dxa"/>
          </w:tcPr>
          <w:p w14:paraId="237C89DA"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0 Previous No-Shows</w:t>
            </w:r>
          </w:p>
        </w:tc>
        <w:tc>
          <w:tcPr>
            <w:tcW w:w="2112" w:type="dxa"/>
          </w:tcPr>
          <w:p w14:paraId="7BC12A1D"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1 Previous No-Show</w:t>
            </w:r>
          </w:p>
        </w:tc>
        <w:tc>
          <w:tcPr>
            <w:tcW w:w="2112" w:type="dxa"/>
          </w:tcPr>
          <w:p w14:paraId="3C798409"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2+ Previous No-Shows</w:t>
            </w:r>
          </w:p>
        </w:tc>
      </w:tr>
      <w:tr w:rsidR="00356445" w:rsidRPr="00356445" w14:paraId="340E45E8" w14:textId="77777777">
        <w:tc>
          <w:tcPr>
            <w:tcW w:w="1584" w:type="dxa"/>
          </w:tcPr>
          <w:p w14:paraId="37383F66"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0–7</w:t>
            </w:r>
          </w:p>
        </w:tc>
        <w:tc>
          <w:tcPr>
            <w:tcW w:w="2112" w:type="dxa"/>
          </w:tcPr>
          <w:p w14:paraId="03E4FBDB"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21.77%</w:t>
            </w:r>
          </w:p>
        </w:tc>
        <w:tc>
          <w:tcPr>
            <w:tcW w:w="2112" w:type="dxa"/>
          </w:tcPr>
          <w:p w14:paraId="029EC532"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33.16%</w:t>
            </w:r>
          </w:p>
        </w:tc>
        <w:tc>
          <w:tcPr>
            <w:tcW w:w="2112" w:type="dxa"/>
          </w:tcPr>
          <w:p w14:paraId="1FFFD154"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43.59%</w:t>
            </w:r>
          </w:p>
        </w:tc>
      </w:tr>
      <w:tr w:rsidR="00356445" w:rsidRPr="00356445" w14:paraId="17F16EA3" w14:textId="77777777">
        <w:tc>
          <w:tcPr>
            <w:tcW w:w="1584" w:type="dxa"/>
          </w:tcPr>
          <w:p w14:paraId="229C9D37"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8–14</w:t>
            </w:r>
          </w:p>
        </w:tc>
        <w:tc>
          <w:tcPr>
            <w:tcW w:w="2112" w:type="dxa"/>
          </w:tcPr>
          <w:p w14:paraId="6D4808D7"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31.65%</w:t>
            </w:r>
          </w:p>
        </w:tc>
        <w:tc>
          <w:tcPr>
            <w:tcW w:w="2112" w:type="dxa"/>
          </w:tcPr>
          <w:p w14:paraId="7F881357"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31.85%</w:t>
            </w:r>
          </w:p>
        </w:tc>
        <w:tc>
          <w:tcPr>
            <w:tcW w:w="2112" w:type="dxa"/>
          </w:tcPr>
          <w:p w14:paraId="225AFEE5"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47.83%</w:t>
            </w:r>
          </w:p>
        </w:tc>
      </w:tr>
      <w:tr w:rsidR="00356445" w:rsidRPr="00356445" w14:paraId="258B1C68" w14:textId="77777777">
        <w:tc>
          <w:tcPr>
            <w:tcW w:w="1584" w:type="dxa"/>
          </w:tcPr>
          <w:p w14:paraId="242E15B8"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15–30</w:t>
            </w:r>
          </w:p>
        </w:tc>
        <w:tc>
          <w:tcPr>
            <w:tcW w:w="2112" w:type="dxa"/>
          </w:tcPr>
          <w:p w14:paraId="1703F7A8"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38.40%</w:t>
            </w:r>
          </w:p>
        </w:tc>
        <w:tc>
          <w:tcPr>
            <w:tcW w:w="2112" w:type="dxa"/>
          </w:tcPr>
          <w:p w14:paraId="0E40AA45"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46.78%</w:t>
            </w:r>
          </w:p>
        </w:tc>
        <w:tc>
          <w:tcPr>
            <w:tcW w:w="2112" w:type="dxa"/>
          </w:tcPr>
          <w:p w14:paraId="61D0E26B"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57.62%</w:t>
            </w:r>
          </w:p>
        </w:tc>
      </w:tr>
      <w:tr w:rsidR="00356445" w:rsidRPr="00356445" w14:paraId="4B4A1F12" w14:textId="77777777">
        <w:tc>
          <w:tcPr>
            <w:tcW w:w="1584" w:type="dxa"/>
          </w:tcPr>
          <w:p w14:paraId="64CD8D15"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31–45</w:t>
            </w:r>
          </w:p>
        </w:tc>
        <w:tc>
          <w:tcPr>
            <w:tcW w:w="2112" w:type="dxa"/>
          </w:tcPr>
          <w:p w14:paraId="3CAA4D86"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49.33%</w:t>
            </w:r>
          </w:p>
        </w:tc>
        <w:tc>
          <w:tcPr>
            <w:tcW w:w="2112" w:type="dxa"/>
          </w:tcPr>
          <w:p w14:paraId="6C6CE0EC"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59.61%</w:t>
            </w:r>
          </w:p>
        </w:tc>
        <w:tc>
          <w:tcPr>
            <w:tcW w:w="2112" w:type="dxa"/>
          </w:tcPr>
          <w:p w14:paraId="27FDB65F"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62.73%</w:t>
            </w:r>
          </w:p>
        </w:tc>
      </w:tr>
      <w:tr w:rsidR="00356445" w:rsidRPr="00356445" w14:paraId="1B80B4CA" w14:textId="77777777">
        <w:tc>
          <w:tcPr>
            <w:tcW w:w="1584" w:type="dxa"/>
          </w:tcPr>
          <w:p w14:paraId="7596D718"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46–60</w:t>
            </w:r>
          </w:p>
        </w:tc>
        <w:tc>
          <w:tcPr>
            <w:tcW w:w="2112" w:type="dxa"/>
          </w:tcPr>
          <w:p w14:paraId="36C6A097"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61.68%</w:t>
            </w:r>
          </w:p>
        </w:tc>
        <w:tc>
          <w:tcPr>
            <w:tcW w:w="2112" w:type="dxa"/>
          </w:tcPr>
          <w:p w14:paraId="7D0B97D8"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73.67%</w:t>
            </w:r>
          </w:p>
        </w:tc>
        <w:tc>
          <w:tcPr>
            <w:tcW w:w="2112" w:type="dxa"/>
          </w:tcPr>
          <w:p w14:paraId="40CD3540"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82.11%</w:t>
            </w:r>
          </w:p>
        </w:tc>
      </w:tr>
    </w:tbl>
    <w:p w14:paraId="33A4695F"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was one of the strongest Week 6 findings.</w:t>
      </w:r>
    </w:p>
    <w:p w14:paraId="456B3FFF"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highest no-show rate was observed among appointments with:</w:t>
      </w:r>
    </w:p>
    <w:p w14:paraId="3E82F559" w14:textId="77777777" w:rsidR="00570A1A" w:rsidRPr="00356445" w:rsidRDefault="00B314FA">
      <w:pPr>
        <w:pStyle w:val="Compact"/>
        <w:numPr>
          <w:ilvl w:val="0"/>
          <w:numId w:val="6"/>
        </w:numPr>
        <w:rPr>
          <w:rFonts w:ascii="Times New Roman" w:hAnsi="Times New Roman" w:cs="Times New Roman"/>
          <w:color w:val="000000" w:themeColor="text1"/>
        </w:rPr>
      </w:pPr>
      <w:r w:rsidRPr="00356445">
        <w:rPr>
          <w:rFonts w:ascii="Times New Roman" w:hAnsi="Times New Roman" w:cs="Times New Roman"/>
          <w:b/>
          <w:bCs/>
          <w:color w:val="000000" w:themeColor="text1"/>
        </w:rPr>
        <w:t>46–60 days booking lead time</w:t>
      </w:r>
      <w:r w:rsidRPr="00356445">
        <w:rPr>
          <w:rFonts w:ascii="Times New Roman" w:hAnsi="Times New Roman" w:cs="Times New Roman"/>
          <w:color w:val="000000" w:themeColor="text1"/>
        </w:rPr>
        <w:t>, and</w:t>
      </w:r>
    </w:p>
    <w:p w14:paraId="410B3DC2" w14:textId="77777777" w:rsidR="00570A1A" w:rsidRPr="00356445" w:rsidRDefault="00B314FA">
      <w:pPr>
        <w:pStyle w:val="Compact"/>
        <w:numPr>
          <w:ilvl w:val="0"/>
          <w:numId w:val="6"/>
        </w:numPr>
        <w:rPr>
          <w:rFonts w:ascii="Times New Roman" w:hAnsi="Times New Roman" w:cs="Times New Roman"/>
          <w:color w:val="000000" w:themeColor="text1"/>
        </w:rPr>
      </w:pPr>
      <w:r w:rsidRPr="00356445">
        <w:rPr>
          <w:rFonts w:ascii="Times New Roman" w:hAnsi="Times New Roman" w:cs="Times New Roman"/>
          <w:b/>
          <w:bCs/>
          <w:color w:val="000000" w:themeColor="text1"/>
        </w:rPr>
        <w:t>2+ previous no-shows</w:t>
      </w:r>
    </w:p>
    <w:p w14:paraId="674D20ED"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 xml:space="preserve">This group recorded an </w:t>
      </w:r>
      <w:r w:rsidRPr="00356445">
        <w:rPr>
          <w:rFonts w:ascii="Times New Roman" w:hAnsi="Times New Roman" w:cs="Times New Roman"/>
          <w:b/>
          <w:bCs/>
          <w:color w:val="000000" w:themeColor="text1"/>
        </w:rPr>
        <w:t>82.11% no-show rate</w:t>
      </w:r>
      <w:r w:rsidRPr="00356445">
        <w:rPr>
          <w:rFonts w:ascii="Times New Roman" w:hAnsi="Times New Roman" w:cs="Times New Roman"/>
          <w:color w:val="000000" w:themeColor="text1"/>
        </w:rPr>
        <w:t>.</w:t>
      </w:r>
    </w:p>
    <w:p w14:paraId="14F5220E"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results indicate that the combination of longer booking lead time and previous missed appointments may identify a particularly high-risk appointment group.</w:t>
      </w:r>
    </w:p>
    <w:p w14:paraId="1B28338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provides stronger evidence for targeted intervention than examining either variable independently.</w:t>
      </w:r>
    </w:p>
    <w:p w14:paraId="67D8B305" w14:textId="77777777" w:rsidR="00570A1A" w:rsidRPr="00356445" w:rsidRDefault="00B314FA">
      <w:pPr>
        <w:pStyle w:val="Heading1"/>
        <w:rPr>
          <w:rFonts w:ascii="Times New Roman" w:hAnsi="Times New Roman" w:cs="Times New Roman"/>
          <w:color w:val="000000" w:themeColor="text1"/>
        </w:rPr>
      </w:pPr>
      <w:bookmarkStart w:id="13" w:name="reminder-status-analysis"/>
      <w:bookmarkEnd w:id="12"/>
      <w:r w:rsidRPr="00356445">
        <w:rPr>
          <w:rFonts w:ascii="Times New Roman" w:hAnsi="Times New Roman" w:cs="Times New Roman"/>
          <w:color w:val="000000" w:themeColor="text1"/>
        </w:rPr>
        <w:t>7. Reminder Status Analysis</w:t>
      </w:r>
    </w:p>
    <w:p w14:paraId="7F58AFA3" w14:textId="4981BB5B"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 xml:space="preserve">Reminder status was </w:t>
      </w:r>
      <w:r w:rsidR="007639C0" w:rsidRPr="00356445">
        <w:rPr>
          <w:rFonts w:ascii="Times New Roman" w:hAnsi="Times New Roman" w:cs="Times New Roman"/>
          <w:color w:val="000000" w:themeColor="text1"/>
        </w:rPr>
        <w:t>analyzed</w:t>
      </w:r>
      <w:r w:rsidRPr="00356445">
        <w:rPr>
          <w:rFonts w:ascii="Times New Roman" w:hAnsi="Times New Roman" w:cs="Times New Roman"/>
          <w:color w:val="000000" w:themeColor="text1"/>
        </w:rPr>
        <w:t xml:space="preserve"> to determine whether no-show behaviour differed between appointments where a reminder was sent and appointments where no reminder was recorded.</w:t>
      </w:r>
    </w:p>
    <w:p w14:paraId="085704D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analysis showed that no-show behaviour remained substantial among patients who received reminders.</w:t>
      </w:r>
    </w:p>
    <w:p w14:paraId="0D617311" w14:textId="65F01EEA"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When booking lead time and reminder status were </w:t>
      </w:r>
      <w:r w:rsidR="007639C0" w:rsidRPr="00356445">
        <w:rPr>
          <w:rFonts w:ascii="Times New Roman" w:hAnsi="Times New Roman" w:cs="Times New Roman"/>
          <w:color w:val="000000" w:themeColor="text1"/>
        </w:rPr>
        <w:t>analyzed</w:t>
      </w:r>
      <w:r w:rsidRPr="00356445">
        <w:rPr>
          <w:rFonts w:ascii="Times New Roman" w:hAnsi="Times New Roman" w:cs="Times New Roman"/>
          <w:color w:val="000000" w:themeColor="text1"/>
        </w:rPr>
        <w:t xml:space="preserve"> together, the no-show rates were:</w:t>
      </w:r>
    </w:p>
    <w:tbl>
      <w:tblPr>
        <w:tblStyle w:val="Table"/>
        <w:tblW w:w="0" w:type="auto"/>
        <w:tblLook w:val="0020" w:firstRow="1" w:lastRow="0" w:firstColumn="0" w:lastColumn="0" w:noHBand="0" w:noVBand="0"/>
      </w:tblPr>
      <w:tblGrid>
        <w:gridCol w:w="1263"/>
        <w:gridCol w:w="2070"/>
        <w:gridCol w:w="1650"/>
      </w:tblGrid>
      <w:tr w:rsidR="00356445" w:rsidRPr="00356445" w14:paraId="2AC5E63A" w14:textId="77777777" w:rsidTr="00570A1A">
        <w:trPr>
          <w:cnfStyle w:val="100000000000" w:firstRow="1" w:lastRow="0" w:firstColumn="0" w:lastColumn="0" w:oddVBand="0" w:evenVBand="0" w:oddHBand="0" w:evenHBand="0" w:firstRowFirstColumn="0" w:firstRowLastColumn="0" w:lastRowFirstColumn="0" w:lastRowLastColumn="0"/>
          <w:tblHeader/>
        </w:trPr>
        <w:tc>
          <w:tcPr>
            <w:tcW w:w="0" w:type="auto"/>
          </w:tcPr>
          <w:p w14:paraId="6E88072C"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Lead Time</w:t>
            </w:r>
          </w:p>
        </w:tc>
        <w:tc>
          <w:tcPr>
            <w:tcW w:w="0" w:type="auto"/>
          </w:tcPr>
          <w:p w14:paraId="7388256F"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Reminder Not Sent</w:t>
            </w:r>
          </w:p>
        </w:tc>
        <w:tc>
          <w:tcPr>
            <w:tcW w:w="0" w:type="auto"/>
          </w:tcPr>
          <w:p w14:paraId="4910F64E"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Reminder Sent</w:t>
            </w:r>
          </w:p>
        </w:tc>
      </w:tr>
      <w:tr w:rsidR="00356445" w:rsidRPr="00356445" w14:paraId="541B16FE" w14:textId="77777777">
        <w:tc>
          <w:tcPr>
            <w:tcW w:w="0" w:type="auto"/>
          </w:tcPr>
          <w:p w14:paraId="051E1B63"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0–7</w:t>
            </w:r>
          </w:p>
        </w:tc>
        <w:tc>
          <w:tcPr>
            <w:tcW w:w="0" w:type="auto"/>
          </w:tcPr>
          <w:p w14:paraId="6F0D500C"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29.94%</w:t>
            </w:r>
          </w:p>
        </w:tc>
        <w:tc>
          <w:tcPr>
            <w:tcW w:w="0" w:type="auto"/>
          </w:tcPr>
          <w:p w14:paraId="6CC4C734"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27.06%</w:t>
            </w:r>
          </w:p>
        </w:tc>
      </w:tr>
      <w:tr w:rsidR="00356445" w:rsidRPr="00356445" w14:paraId="122B6900" w14:textId="77777777">
        <w:tc>
          <w:tcPr>
            <w:tcW w:w="0" w:type="auto"/>
          </w:tcPr>
          <w:p w14:paraId="2E4DE6EA"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8–14</w:t>
            </w:r>
          </w:p>
        </w:tc>
        <w:tc>
          <w:tcPr>
            <w:tcW w:w="0" w:type="auto"/>
          </w:tcPr>
          <w:p w14:paraId="7DA07446" w14:textId="7A99A7F2" w:rsidR="00570A1A" w:rsidRPr="00356445" w:rsidRDefault="00E56F70">
            <w:pPr>
              <w:pStyle w:val="Compact"/>
              <w:jc w:val="right"/>
              <w:rPr>
                <w:rFonts w:ascii="Times New Roman" w:hAnsi="Times New Roman" w:cs="Times New Roman"/>
                <w:color w:val="000000" w:themeColor="text1"/>
              </w:rPr>
            </w:pPr>
            <w:r>
              <w:rPr>
                <w:rFonts w:ascii="Times New Roman" w:hAnsi="Times New Roman" w:cs="Times New Roman"/>
                <w:color w:val="000000" w:themeColor="text1"/>
              </w:rPr>
              <w:t>34.78%</w:t>
            </w:r>
          </w:p>
        </w:tc>
        <w:tc>
          <w:tcPr>
            <w:tcW w:w="0" w:type="auto"/>
          </w:tcPr>
          <w:p w14:paraId="0F999665" w14:textId="4FD2A92C" w:rsidR="00570A1A" w:rsidRPr="00356445" w:rsidRDefault="00E56F70">
            <w:pPr>
              <w:pStyle w:val="Compact"/>
              <w:jc w:val="right"/>
              <w:rPr>
                <w:rFonts w:ascii="Times New Roman" w:hAnsi="Times New Roman" w:cs="Times New Roman"/>
                <w:color w:val="000000" w:themeColor="text1"/>
              </w:rPr>
            </w:pPr>
            <w:r>
              <w:rPr>
                <w:rFonts w:ascii="Times New Roman" w:hAnsi="Times New Roman" w:cs="Times New Roman"/>
                <w:color w:val="000000" w:themeColor="text1"/>
              </w:rPr>
              <w:t>33.11%</w:t>
            </w:r>
          </w:p>
        </w:tc>
      </w:tr>
      <w:tr w:rsidR="00356445" w:rsidRPr="00356445" w14:paraId="3A1B3389" w14:textId="77777777">
        <w:tc>
          <w:tcPr>
            <w:tcW w:w="0" w:type="auto"/>
          </w:tcPr>
          <w:p w14:paraId="2667E358"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15–30</w:t>
            </w:r>
          </w:p>
        </w:tc>
        <w:tc>
          <w:tcPr>
            <w:tcW w:w="0" w:type="auto"/>
          </w:tcPr>
          <w:p w14:paraId="7A895F3D" w14:textId="59209F8B" w:rsidR="00570A1A" w:rsidRPr="00356445" w:rsidRDefault="00E56F70">
            <w:pPr>
              <w:pStyle w:val="Compact"/>
              <w:jc w:val="right"/>
              <w:rPr>
                <w:rFonts w:ascii="Times New Roman" w:hAnsi="Times New Roman" w:cs="Times New Roman"/>
                <w:color w:val="000000" w:themeColor="text1"/>
              </w:rPr>
            </w:pPr>
            <w:r>
              <w:rPr>
                <w:rFonts w:ascii="Times New Roman" w:hAnsi="Times New Roman" w:cs="Times New Roman"/>
                <w:color w:val="000000" w:themeColor="text1"/>
              </w:rPr>
              <w:t>46.56%</w:t>
            </w:r>
          </w:p>
        </w:tc>
        <w:tc>
          <w:tcPr>
            <w:tcW w:w="0" w:type="auto"/>
          </w:tcPr>
          <w:p w14:paraId="031790D0" w14:textId="205F46F4" w:rsidR="00570A1A" w:rsidRPr="00356445" w:rsidRDefault="00E56F70" w:rsidP="00C17487">
            <w:pPr>
              <w:pStyle w:val="Compact"/>
              <w:spacing w:line="360" w:lineRule="auto"/>
              <w:jc w:val="right"/>
              <w:rPr>
                <w:rFonts w:ascii="Times New Roman" w:hAnsi="Times New Roman" w:cs="Times New Roman"/>
                <w:color w:val="000000" w:themeColor="text1"/>
              </w:rPr>
            </w:pPr>
            <w:r>
              <w:rPr>
                <w:rFonts w:ascii="Times New Roman" w:hAnsi="Times New Roman" w:cs="Times New Roman"/>
                <w:color w:val="000000" w:themeColor="text1"/>
              </w:rPr>
              <w:t>41.88</w:t>
            </w:r>
            <w:r w:rsidR="00C17487">
              <w:rPr>
                <w:rFonts w:ascii="Times New Roman" w:hAnsi="Times New Roman" w:cs="Times New Roman"/>
                <w:color w:val="000000" w:themeColor="text1"/>
              </w:rPr>
              <w:t>%</w:t>
            </w:r>
          </w:p>
        </w:tc>
      </w:tr>
      <w:tr w:rsidR="00356445" w:rsidRPr="00356445" w14:paraId="22D63270" w14:textId="77777777">
        <w:tc>
          <w:tcPr>
            <w:tcW w:w="0" w:type="auto"/>
          </w:tcPr>
          <w:p w14:paraId="4094DC8C"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31–45</w:t>
            </w:r>
          </w:p>
        </w:tc>
        <w:tc>
          <w:tcPr>
            <w:tcW w:w="0" w:type="auto"/>
          </w:tcPr>
          <w:p w14:paraId="29DDC62B" w14:textId="3325FA8E" w:rsidR="00570A1A" w:rsidRPr="00356445" w:rsidRDefault="00E56F70">
            <w:pPr>
              <w:pStyle w:val="Compact"/>
              <w:jc w:val="right"/>
              <w:rPr>
                <w:rFonts w:ascii="Times New Roman" w:hAnsi="Times New Roman" w:cs="Times New Roman"/>
                <w:color w:val="000000" w:themeColor="text1"/>
              </w:rPr>
            </w:pPr>
            <w:r>
              <w:rPr>
                <w:rFonts w:ascii="Times New Roman" w:hAnsi="Times New Roman" w:cs="Times New Roman"/>
                <w:color w:val="000000" w:themeColor="text1"/>
              </w:rPr>
              <w:t>55.3</w:t>
            </w:r>
            <w:r w:rsidR="001E7CB7">
              <w:rPr>
                <w:rFonts w:ascii="Times New Roman" w:hAnsi="Times New Roman" w:cs="Times New Roman"/>
                <w:color w:val="000000" w:themeColor="text1"/>
              </w:rPr>
              <w:t>1</w:t>
            </w:r>
            <w:r>
              <w:rPr>
                <w:rFonts w:ascii="Times New Roman" w:hAnsi="Times New Roman" w:cs="Times New Roman"/>
                <w:color w:val="000000" w:themeColor="text1"/>
              </w:rPr>
              <w:t>%</w:t>
            </w:r>
          </w:p>
        </w:tc>
        <w:tc>
          <w:tcPr>
            <w:tcW w:w="0" w:type="auto"/>
          </w:tcPr>
          <w:p w14:paraId="3C083B42" w14:textId="57436E5C" w:rsidR="00570A1A" w:rsidRPr="00356445" w:rsidRDefault="00E56F70">
            <w:pPr>
              <w:pStyle w:val="Compact"/>
              <w:jc w:val="right"/>
              <w:rPr>
                <w:rFonts w:ascii="Times New Roman" w:hAnsi="Times New Roman" w:cs="Times New Roman"/>
                <w:color w:val="000000" w:themeColor="text1"/>
              </w:rPr>
            </w:pPr>
            <w:r>
              <w:rPr>
                <w:rFonts w:ascii="Times New Roman" w:hAnsi="Times New Roman" w:cs="Times New Roman"/>
                <w:color w:val="000000" w:themeColor="text1"/>
              </w:rPr>
              <w:t>53.22%</w:t>
            </w:r>
          </w:p>
        </w:tc>
      </w:tr>
      <w:tr w:rsidR="00356445" w:rsidRPr="00356445" w14:paraId="48F61500" w14:textId="77777777">
        <w:tc>
          <w:tcPr>
            <w:tcW w:w="0" w:type="auto"/>
          </w:tcPr>
          <w:p w14:paraId="0E59B5E7"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46–60</w:t>
            </w:r>
          </w:p>
        </w:tc>
        <w:tc>
          <w:tcPr>
            <w:tcW w:w="0" w:type="auto"/>
          </w:tcPr>
          <w:p w14:paraId="22A40FC6"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73.51%</w:t>
            </w:r>
          </w:p>
        </w:tc>
        <w:tc>
          <w:tcPr>
            <w:tcW w:w="0" w:type="auto"/>
          </w:tcPr>
          <w:p w14:paraId="0AFDE2E5"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65.66%</w:t>
            </w:r>
          </w:p>
        </w:tc>
      </w:tr>
    </w:tbl>
    <w:p w14:paraId="2390887A"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highest observed combination was </w:t>
      </w:r>
      <w:r w:rsidRPr="00356445">
        <w:rPr>
          <w:rFonts w:ascii="Times New Roman" w:hAnsi="Times New Roman" w:cs="Times New Roman"/>
          <w:b/>
          <w:bCs/>
          <w:color w:val="000000" w:themeColor="text1"/>
        </w:rPr>
        <w:t>46–60 days lead time with no reminder, at 73.51%</w:t>
      </w:r>
      <w:r w:rsidRPr="00356445">
        <w:rPr>
          <w:rFonts w:ascii="Times New Roman" w:hAnsi="Times New Roman" w:cs="Times New Roman"/>
          <w:color w:val="000000" w:themeColor="text1"/>
        </w:rPr>
        <w:t>, based on 302 appointments.</w:t>
      </w:r>
    </w:p>
    <w:p w14:paraId="7AD0843D"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result suggests that reminders may be associated with lower no-show rates in some groups, although the analysis does not establish that reminders alone caused the difference.</w:t>
      </w:r>
    </w:p>
    <w:p w14:paraId="2C6E02C9"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The finding also demonstrates that reminder delivery should be considered alongside other risk factors rather than treated as the only intervention.</w:t>
      </w:r>
    </w:p>
    <w:p w14:paraId="6F711640" w14:textId="77777777" w:rsidR="00570A1A" w:rsidRPr="00356445" w:rsidRDefault="00B314FA">
      <w:pPr>
        <w:pStyle w:val="Heading1"/>
        <w:rPr>
          <w:rFonts w:ascii="Times New Roman" w:hAnsi="Times New Roman" w:cs="Times New Roman"/>
          <w:color w:val="000000" w:themeColor="text1"/>
        </w:rPr>
      </w:pPr>
      <w:bookmarkStart w:id="14" w:name="previous-no-show-history-reminder-status"/>
      <w:bookmarkEnd w:id="13"/>
      <w:r w:rsidRPr="00356445">
        <w:rPr>
          <w:rFonts w:ascii="Times New Roman" w:hAnsi="Times New Roman" w:cs="Times New Roman"/>
          <w:color w:val="000000" w:themeColor="text1"/>
        </w:rPr>
        <w:t>8. Previous No-Show History × Reminder Status</w:t>
      </w:r>
    </w:p>
    <w:p w14:paraId="606F8CE9"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Previous no-show history was also compared with reminder status.</w:t>
      </w:r>
    </w:p>
    <w:tbl>
      <w:tblPr>
        <w:tblStyle w:val="Table"/>
        <w:tblW w:w="0" w:type="auto"/>
        <w:tblLook w:val="0020" w:firstRow="1" w:lastRow="0" w:firstColumn="0" w:lastColumn="0" w:noHBand="0" w:noVBand="0"/>
      </w:tblPr>
      <w:tblGrid>
        <w:gridCol w:w="2710"/>
        <w:gridCol w:w="1516"/>
        <w:gridCol w:w="1650"/>
      </w:tblGrid>
      <w:tr w:rsidR="00356445" w:rsidRPr="00356445" w14:paraId="18BB668A" w14:textId="77777777" w:rsidTr="00570A1A">
        <w:trPr>
          <w:cnfStyle w:val="100000000000" w:firstRow="1" w:lastRow="0" w:firstColumn="0" w:lastColumn="0" w:oddVBand="0" w:evenVBand="0" w:oddHBand="0" w:evenHBand="0" w:firstRowFirstColumn="0" w:firstRowLastColumn="0" w:lastRowFirstColumn="0" w:lastRowLastColumn="0"/>
          <w:tblHeader/>
        </w:trPr>
        <w:tc>
          <w:tcPr>
            <w:tcW w:w="0" w:type="auto"/>
          </w:tcPr>
          <w:p w14:paraId="327DA3A2"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Previous No-Show Group</w:t>
            </w:r>
          </w:p>
        </w:tc>
        <w:tc>
          <w:tcPr>
            <w:tcW w:w="0" w:type="auto"/>
          </w:tcPr>
          <w:p w14:paraId="18FB414A"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No Reminder</w:t>
            </w:r>
          </w:p>
        </w:tc>
        <w:tc>
          <w:tcPr>
            <w:tcW w:w="0" w:type="auto"/>
          </w:tcPr>
          <w:p w14:paraId="7A0479A3"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Reminder Sent</w:t>
            </w:r>
          </w:p>
        </w:tc>
      </w:tr>
      <w:tr w:rsidR="00356445" w:rsidRPr="00356445" w14:paraId="33EF9AC1" w14:textId="77777777">
        <w:tc>
          <w:tcPr>
            <w:tcW w:w="0" w:type="auto"/>
          </w:tcPr>
          <w:p w14:paraId="68598D94"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0</w:t>
            </w:r>
          </w:p>
        </w:tc>
        <w:tc>
          <w:tcPr>
            <w:tcW w:w="0" w:type="auto"/>
          </w:tcPr>
          <w:p w14:paraId="4E99519D"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45.44%</w:t>
            </w:r>
          </w:p>
        </w:tc>
        <w:tc>
          <w:tcPr>
            <w:tcW w:w="0" w:type="auto"/>
          </w:tcPr>
          <w:p w14:paraId="6ADCCE9F"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42.80%</w:t>
            </w:r>
          </w:p>
        </w:tc>
      </w:tr>
      <w:tr w:rsidR="00356445" w:rsidRPr="00356445" w14:paraId="1535AA72" w14:textId="77777777">
        <w:tc>
          <w:tcPr>
            <w:tcW w:w="0" w:type="auto"/>
          </w:tcPr>
          <w:p w14:paraId="0A10B4A9"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1</w:t>
            </w:r>
          </w:p>
        </w:tc>
        <w:tc>
          <w:tcPr>
            <w:tcW w:w="0" w:type="auto"/>
          </w:tcPr>
          <w:p w14:paraId="3DEF6301"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56.54%</w:t>
            </w:r>
          </w:p>
        </w:tc>
        <w:tc>
          <w:tcPr>
            <w:tcW w:w="0" w:type="auto"/>
          </w:tcPr>
          <w:p w14:paraId="23B5EC44"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52.32%</w:t>
            </w:r>
          </w:p>
        </w:tc>
      </w:tr>
      <w:tr w:rsidR="00356445" w:rsidRPr="00356445" w14:paraId="7D61D7CE" w14:textId="77777777">
        <w:tc>
          <w:tcPr>
            <w:tcW w:w="0" w:type="auto"/>
          </w:tcPr>
          <w:p w14:paraId="46D8A4AA" w14:textId="77777777" w:rsidR="00570A1A" w:rsidRPr="00356445" w:rsidRDefault="00B314FA">
            <w:pPr>
              <w:pStyle w:val="Compact"/>
              <w:rPr>
                <w:rFonts w:ascii="Times New Roman" w:hAnsi="Times New Roman" w:cs="Times New Roman"/>
                <w:color w:val="000000" w:themeColor="text1"/>
              </w:rPr>
            </w:pPr>
            <w:r w:rsidRPr="00356445">
              <w:rPr>
                <w:rFonts w:ascii="Times New Roman" w:hAnsi="Times New Roman" w:cs="Times New Roman"/>
                <w:color w:val="000000" w:themeColor="text1"/>
              </w:rPr>
              <w:t>2+</w:t>
            </w:r>
          </w:p>
        </w:tc>
        <w:tc>
          <w:tcPr>
            <w:tcW w:w="0" w:type="auto"/>
          </w:tcPr>
          <w:p w14:paraId="0031F204"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68.24%</w:t>
            </w:r>
          </w:p>
        </w:tc>
        <w:tc>
          <w:tcPr>
            <w:tcW w:w="0" w:type="auto"/>
          </w:tcPr>
          <w:p w14:paraId="171E3848" w14:textId="77777777" w:rsidR="00570A1A" w:rsidRPr="00356445" w:rsidRDefault="00B314FA">
            <w:pPr>
              <w:pStyle w:val="Compact"/>
              <w:jc w:val="right"/>
              <w:rPr>
                <w:rFonts w:ascii="Times New Roman" w:hAnsi="Times New Roman" w:cs="Times New Roman"/>
                <w:color w:val="000000" w:themeColor="text1"/>
              </w:rPr>
            </w:pPr>
            <w:r w:rsidRPr="00356445">
              <w:rPr>
                <w:rFonts w:ascii="Times New Roman" w:hAnsi="Times New Roman" w:cs="Times New Roman"/>
                <w:color w:val="000000" w:themeColor="text1"/>
              </w:rPr>
              <w:t>58.22%</w:t>
            </w:r>
          </w:p>
        </w:tc>
      </w:tr>
    </w:tbl>
    <w:p w14:paraId="2DA0E424"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highest rate was recorded among patients with </w:t>
      </w:r>
      <w:r w:rsidRPr="00356445">
        <w:rPr>
          <w:rFonts w:ascii="Times New Roman" w:hAnsi="Times New Roman" w:cs="Times New Roman"/>
          <w:b/>
          <w:bCs/>
          <w:color w:val="000000" w:themeColor="text1"/>
        </w:rPr>
        <w:t>2+ previous no-shows who did not receive a reminder: 68.24%</w:t>
      </w:r>
      <w:r w:rsidRPr="00356445">
        <w:rPr>
          <w:rFonts w:ascii="Times New Roman" w:hAnsi="Times New Roman" w:cs="Times New Roman"/>
          <w:color w:val="000000" w:themeColor="text1"/>
        </w:rPr>
        <w:t>.</w:t>
      </w:r>
    </w:p>
    <w:p w14:paraId="105D111F"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For patients with 2+ previous no-shows, the no-show rate was lower when a reminder was recorded:</w:t>
      </w:r>
    </w:p>
    <w:p w14:paraId="5D669625"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68.24% without a reminder vs 58.22% with a reminder.</w:t>
      </w:r>
    </w:p>
    <w:p w14:paraId="439AF902"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finding provides additional support for considering previous attendance behaviour when designing reminder strategies.</w:t>
      </w:r>
    </w:p>
    <w:p w14:paraId="2AB91CB3" w14:textId="77777777" w:rsidR="00570A1A" w:rsidRPr="00356445" w:rsidRDefault="00B314FA">
      <w:pPr>
        <w:pStyle w:val="Heading1"/>
        <w:rPr>
          <w:rFonts w:ascii="Times New Roman" w:hAnsi="Times New Roman" w:cs="Times New Roman"/>
          <w:color w:val="000000" w:themeColor="text1"/>
        </w:rPr>
      </w:pPr>
      <w:bookmarkStart w:id="15" w:name="distance-analysis"/>
      <w:bookmarkEnd w:id="14"/>
      <w:r w:rsidRPr="00356445">
        <w:rPr>
          <w:rFonts w:ascii="Times New Roman" w:hAnsi="Times New Roman" w:cs="Times New Roman"/>
          <w:color w:val="000000" w:themeColor="text1"/>
        </w:rPr>
        <w:t>9. Distance Analysis</w:t>
      </w:r>
    </w:p>
    <w:p w14:paraId="1A8EC6D0"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Distance from the clinic was also examined.</w:t>
      </w:r>
    </w:p>
    <w:p w14:paraId="726DCD7C"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no-show rate for patients travelling </w:t>
      </w:r>
      <w:r w:rsidRPr="00356445">
        <w:rPr>
          <w:rFonts w:ascii="Times New Roman" w:hAnsi="Times New Roman" w:cs="Times New Roman"/>
          <w:b/>
          <w:bCs/>
          <w:color w:val="000000" w:themeColor="text1"/>
        </w:rPr>
        <w:t>0–5 distance units was 46.45%</w:t>
      </w:r>
      <w:r w:rsidRPr="00356445">
        <w:rPr>
          <w:rFonts w:ascii="Times New Roman" w:hAnsi="Times New Roman" w:cs="Times New Roman"/>
          <w:color w:val="000000" w:themeColor="text1"/>
        </w:rPr>
        <w:t xml:space="preserve">, while patients in the </w:t>
      </w:r>
      <w:r w:rsidRPr="00356445">
        <w:rPr>
          <w:rFonts w:ascii="Times New Roman" w:hAnsi="Times New Roman" w:cs="Times New Roman"/>
          <w:b/>
          <w:bCs/>
          <w:color w:val="000000" w:themeColor="text1"/>
        </w:rPr>
        <w:t>20+ distance group recorded 57.76%</w:t>
      </w:r>
      <w:r w:rsidRPr="00356445">
        <w:rPr>
          <w:rFonts w:ascii="Times New Roman" w:hAnsi="Times New Roman" w:cs="Times New Roman"/>
          <w:color w:val="000000" w:themeColor="text1"/>
        </w:rPr>
        <w:t>.</w:t>
      </w:r>
    </w:p>
    <w:p w14:paraId="7971098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indicates that greater distance may be associated with increased no-show behaviour.</w:t>
      </w:r>
    </w:p>
    <w:p w14:paraId="00876713"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However, the relationship should be treated as an association rather than proof that distance directly causes missed appointments.</w:t>
      </w:r>
    </w:p>
    <w:p w14:paraId="777FA5F2" w14:textId="77777777" w:rsidR="00570A1A" w:rsidRPr="00356445" w:rsidRDefault="00B314FA">
      <w:pPr>
        <w:pStyle w:val="Heading1"/>
        <w:rPr>
          <w:rFonts w:ascii="Times New Roman" w:hAnsi="Times New Roman" w:cs="Times New Roman"/>
          <w:color w:val="000000" w:themeColor="text1"/>
        </w:rPr>
      </w:pPr>
      <w:bookmarkStart w:id="16" w:name="age-group-analysis"/>
      <w:bookmarkEnd w:id="15"/>
      <w:r w:rsidRPr="00356445">
        <w:rPr>
          <w:rFonts w:ascii="Times New Roman" w:hAnsi="Times New Roman" w:cs="Times New Roman"/>
          <w:color w:val="000000" w:themeColor="text1"/>
        </w:rPr>
        <w:t>10. Age Group Analysis</w:t>
      </w:r>
    </w:p>
    <w:p w14:paraId="770E260E"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Age was investigated to determine whether appointment outcomes varied substantially between different age groups.</w:t>
      </w:r>
    </w:p>
    <w:p w14:paraId="74D6CBB6"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differences between age groups were relatively small.</w:t>
      </w:r>
    </w:p>
    <w:p w14:paraId="6F520338"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w:t>
      </w:r>
      <w:r w:rsidRPr="00356445">
        <w:rPr>
          <w:rFonts w:ascii="Times New Roman" w:hAnsi="Times New Roman" w:cs="Times New Roman"/>
          <w:b/>
          <w:bCs/>
          <w:color w:val="000000" w:themeColor="text1"/>
        </w:rPr>
        <w:t>55–64 age group recorded the highest no-show rate at 50.75%</w:t>
      </w:r>
      <w:r w:rsidRPr="00356445">
        <w:rPr>
          <w:rFonts w:ascii="Times New Roman" w:hAnsi="Times New Roman" w:cs="Times New Roman"/>
          <w:color w:val="000000" w:themeColor="text1"/>
        </w:rPr>
        <w:t>, based on 800 appointments.</w:t>
      </w:r>
    </w:p>
    <w:p w14:paraId="38527028"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w:t>
      </w:r>
      <w:r w:rsidRPr="00356445">
        <w:rPr>
          <w:rFonts w:ascii="Times New Roman" w:hAnsi="Times New Roman" w:cs="Times New Roman"/>
          <w:b/>
          <w:bCs/>
          <w:color w:val="000000" w:themeColor="text1"/>
        </w:rPr>
        <w:t>65+ group recorded the lowest no-show rate at 45.12%</w:t>
      </w:r>
      <w:r w:rsidRPr="00356445">
        <w:rPr>
          <w:rFonts w:ascii="Times New Roman" w:hAnsi="Times New Roman" w:cs="Times New Roman"/>
          <w:color w:val="000000" w:themeColor="text1"/>
        </w:rPr>
        <w:t>, based on 1,241 appointments.</w:t>
      </w:r>
    </w:p>
    <w:p w14:paraId="4DA58F43"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The relatively small differences suggest that age alone may not be a strong enough factor for targeting interventions. It may be more useful when considered alongside stronger variables such as previous no-show history and booking lead time.</w:t>
      </w:r>
    </w:p>
    <w:p w14:paraId="3DA9D068" w14:textId="77777777" w:rsidR="00570A1A" w:rsidRPr="00356445" w:rsidRDefault="00B314FA">
      <w:pPr>
        <w:pStyle w:val="Heading1"/>
        <w:rPr>
          <w:rFonts w:ascii="Times New Roman" w:hAnsi="Times New Roman" w:cs="Times New Roman"/>
          <w:color w:val="000000" w:themeColor="text1"/>
        </w:rPr>
      </w:pPr>
      <w:bookmarkStart w:id="17" w:name="key-week-6-analytical-insights"/>
      <w:bookmarkEnd w:id="16"/>
      <w:r w:rsidRPr="00356445">
        <w:rPr>
          <w:rFonts w:ascii="Times New Roman" w:hAnsi="Times New Roman" w:cs="Times New Roman"/>
          <w:color w:val="000000" w:themeColor="text1"/>
        </w:rPr>
        <w:t>11. Key Week 6 Analytical Insights</w:t>
      </w:r>
    </w:p>
    <w:p w14:paraId="36ACF01C"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major findings from the Week 6 analysis were:</w:t>
      </w:r>
    </w:p>
    <w:p w14:paraId="23844335" w14:textId="77777777" w:rsidR="00570A1A" w:rsidRPr="00356445" w:rsidRDefault="00B314FA">
      <w:pPr>
        <w:numPr>
          <w:ilvl w:val="0"/>
          <w:numId w:val="7"/>
        </w:numPr>
        <w:rPr>
          <w:rFonts w:ascii="Times New Roman" w:hAnsi="Times New Roman" w:cs="Times New Roman"/>
          <w:color w:val="000000" w:themeColor="text1"/>
        </w:rPr>
      </w:pPr>
      <w:r w:rsidRPr="00356445">
        <w:rPr>
          <w:rFonts w:ascii="Times New Roman" w:hAnsi="Times New Roman" w:cs="Times New Roman"/>
          <w:b/>
          <w:bCs/>
          <w:color w:val="000000" w:themeColor="text1"/>
        </w:rPr>
        <w:t>Longer booking lead times were associated with higher no-show rates</w:t>
      </w:r>
      <w:r w:rsidRPr="00356445">
        <w:rPr>
          <w:rFonts w:ascii="Times New Roman" w:hAnsi="Times New Roman" w:cs="Times New Roman"/>
          <w:color w:val="000000" w:themeColor="text1"/>
        </w:rPr>
        <w:t>, increasing from 27.81% for 0–7 days to 67.69% for 46–60 days.</w:t>
      </w:r>
    </w:p>
    <w:p w14:paraId="24130459" w14:textId="77777777" w:rsidR="00570A1A" w:rsidRPr="00356445" w:rsidRDefault="00B314FA">
      <w:pPr>
        <w:numPr>
          <w:ilvl w:val="0"/>
          <w:numId w:val="7"/>
        </w:numPr>
        <w:rPr>
          <w:rFonts w:ascii="Times New Roman" w:hAnsi="Times New Roman" w:cs="Times New Roman"/>
          <w:color w:val="000000" w:themeColor="text1"/>
        </w:rPr>
      </w:pPr>
      <w:r w:rsidRPr="00356445">
        <w:rPr>
          <w:rFonts w:ascii="Times New Roman" w:hAnsi="Times New Roman" w:cs="Times New Roman"/>
          <w:b/>
          <w:bCs/>
          <w:color w:val="000000" w:themeColor="text1"/>
        </w:rPr>
        <w:t>Previous no-show history was associated with increased future no-show behaviour.</w:t>
      </w:r>
    </w:p>
    <w:p w14:paraId="089A97BD" w14:textId="77777777" w:rsidR="00570A1A" w:rsidRPr="00356445" w:rsidRDefault="00B314FA">
      <w:pPr>
        <w:numPr>
          <w:ilvl w:val="0"/>
          <w:numId w:val="7"/>
        </w:numPr>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interaction between lead time and previous no-show history produced an especially strong pattern. The </w:t>
      </w:r>
      <w:r w:rsidRPr="00356445">
        <w:rPr>
          <w:rFonts w:ascii="Times New Roman" w:hAnsi="Times New Roman" w:cs="Times New Roman"/>
          <w:b/>
          <w:bCs/>
          <w:color w:val="000000" w:themeColor="text1"/>
        </w:rPr>
        <w:t>46–60 day / 2+ previous no-shows group recorded an 82.11% no-show rate</w:t>
      </w:r>
      <w:r w:rsidRPr="00356445">
        <w:rPr>
          <w:rFonts w:ascii="Times New Roman" w:hAnsi="Times New Roman" w:cs="Times New Roman"/>
          <w:color w:val="000000" w:themeColor="text1"/>
        </w:rPr>
        <w:t>.</w:t>
      </w:r>
    </w:p>
    <w:p w14:paraId="2DBBD320" w14:textId="77777777" w:rsidR="00570A1A" w:rsidRPr="00356445" w:rsidRDefault="00B314FA">
      <w:pPr>
        <w:numPr>
          <w:ilvl w:val="0"/>
          <w:numId w:val="7"/>
        </w:numPr>
        <w:rPr>
          <w:rFonts w:ascii="Times New Roman" w:hAnsi="Times New Roman" w:cs="Times New Roman"/>
          <w:color w:val="000000" w:themeColor="text1"/>
        </w:rPr>
      </w:pPr>
      <w:r w:rsidRPr="00356445">
        <w:rPr>
          <w:rFonts w:ascii="Times New Roman" w:hAnsi="Times New Roman" w:cs="Times New Roman"/>
          <w:color w:val="000000" w:themeColor="text1"/>
        </w:rPr>
        <w:t xml:space="preserve">Patients with </w:t>
      </w:r>
      <w:r w:rsidRPr="00356445">
        <w:rPr>
          <w:rFonts w:ascii="Times New Roman" w:hAnsi="Times New Roman" w:cs="Times New Roman"/>
          <w:b/>
          <w:bCs/>
          <w:color w:val="000000" w:themeColor="text1"/>
        </w:rPr>
        <w:t>2+ previous no-shows recorded 68.24% without a reminder compared with 58.22% when a reminder was recorded</w:t>
      </w:r>
      <w:r w:rsidRPr="00356445">
        <w:rPr>
          <w:rFonts w:ascii="Times New Roman" w:hAnsi="Times New Roman" w:cs="Times New Roman"/>
          <w:color w:val="000000" w:themeColor="text1"/>
        </w:rPr>
        <w:t>.</w:t>
      </w:r>
    </w:p>
    <w:p w14:paraId="199F4593" w14:textId="77777777" w:rsidR="00570A1A" w:rsidRPr="00356445" w:rsidRDefault="00B314FA">
      <w:pPr>
        <w:numPr>
          <w:ilvl w:val="0"/>
          <w:numId w:val="7"/>
        </w:numPr>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w:t>
      </w:r>
      <w:r w:rsidRPr="00356445">
        <w:rPr>
          <w:rFonts w:ascii="Times New Roman" w:hAnsi="Times New Roman" w:cs="Times New Roman"/>
          <w:b/>
          <w:bCs/>
          <w:color w:val="000000" w:themeColor="text1"/>
        </w:rPr>
        <w:t>46–60 day group without a reminder recorded a 73.51% no-show rate</w:t>
      </w:r>
      <w:r w:rsidRPr="00356445">
        <w:rPr>
          <w:rFonts w:ascii="Times New Roman" w:hAnsi="Times New Roman" w:cs="Times New Roman"/>
          <w:color w:val="000000" w:themeColor="text1"/>
        </w:rPr>
        <w:t>, compared with 65.66% when a reminder was sent.</w:t>
      </w:r>
    </w:p>
    <w:p w14:paraId="0E3CCECE" w14:textId="77777777" w:rsidR="00570A1A" w:rsidRPr="00356445" w:rsidRDefault="00B314FA">
      <w:pPr>
        <w:numPr>
          <w:ilvl w:val="0"/>
          <w:numId w:val="7"/>
        </w:numPr>
        <w:rPr>
          <w:rFonts w:ascii="Times New Roman" w:hAnsi="Times New Roman" w:cs="Times New Roman"/>
          <w:color w:val="000000" w:themeColor="text1"/>
        </w:rPr>
      </w:pPr>
      <w:r w:rsidRPr="00356445">
        <w:rPr>
          <w:rFonts w:ascii="Times New Roman" w:hAnsi="Times New Roman" w:cs="Times New Roman"/>
          <w:color w:val="000000" w:themeColor="text1"/>
        </w:rPr>
        <w:t xml:space="preserve">Distance showed some variation, with the </w:t>
      </w:r>
      <w:r w:rsidRPr="00356445">
        <w:rPr>
          <w:rFonts w:ascii="Times New Roman" w:hAnsi="Times New Roman" w:cs="Times New Roman"/>
          <w:b/>
          <w:bCs/>
          <w:color w:val="000000" w:themeColor="text1"/>
        </w:rPr>
        <w:t>20+ distance group recording 57.76%</w:t>
      </w:r>
      <w:r w:rsidRPr="00356445">
        <w:rPr>
          <w:rFonts w:ascii="Times New Roman" w:hAnsi="Times New Roman" w:cs="Times New Roman"/>
          <w:color w:val="000000" w:themeColor="text1"/>
        </w:rPr>
        <w:t xml:space="preserve"> compared with 46.45% for the 0–5 group.</w:t>
      </w:r>
    </w:p>
    <w:p w14:paraId="4DD6635E" w14:textId="77777777" w:rsidR="00570A1A" w:rsidRPr="00356445" w:rsidRDefault="00B314FA">
      <w:pPr>
        <w:numPr>
          <w:ilvl w:val="0"/>
          <w:numId w:val="7"/>
        </w:numPr>
        <w:rPr>
          <w:rFonts w:ascii="Times New Roman" w:hAnsi="Times New Roman" w:cs="Times New Roman"/>
          <w:color w:val="000000" w:themeColor="text1"/>
        </w:rPr>
      </w:pPr>
      <w:r w:rsidRPr="00356445">
        <w:rPr>
          <w:rFonts w:ascii="Times New Roman" w:hAnsi="Times New Roman" w:cs="Times New Roman"/>
          <w:color w:val="000000" w:themeColor="text1"/>
        </w:rPr>
        <w:t>Age differences were relatively small, with the 55–64 group having the highest rate at 50.75%.</w:t>
      </w:r>
    </w:p>
    <w:p w14:paraId="34AEDF45"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These findings suggest that </w:t>
      </w:r>
      <w:r w:rsidRPr="00356445">
        <w:rPr>
          <w:rFonts w:ascii="Times New Roman" w:hAnsi="Times New Roman" w:cs="Times New Roman"/>
          <w:b/>
          <w:bCs/>
          <w:color w:val="000000" w:themeColor="text1"/>
        </w:rPr>
        <w:t>booking lead time, previous no-show history and reminder status</w:t>
      </w:r>
      <w:r w:rsidRPr="00356445">
        <w:rPr>
          <w:rFonts w:ascii="Times New Roman" w:hAnsi="Times New Roman" w:cs="Times New Roman"/>
          <w:color w:val="000000" w:themeColor="text1"/>
        </w:rPr>
        <w:t xml:space="preserve"> are particularly useful variables for further investigation and potential intervention planning.</w:t>
      </w:r>
    </w:p>
    <w:p w14:paraId="3D1F17C8" w14:textId="77777777" w:rsidR="00570A1A" w:rsidRPr="00356445" w:rsidRDefault="00B314FA">
      <w:pPr>
        <w:pStyle w:val="Heading1"/>
        <w:rPr>
          <w:rFonts w:ascii="Times New Roman" w:hAnsi="Times New Roman" w:cs="Times New Roman"/>
          <w:color w:val="000000" w:themeColor="text1"/>
        </w:rPr>
      </w:pPr>
      <w:bookmarkStart w:id="18" w:name="X50a9f36592c9c6294e1330871f06889abc46446"/>
      <w:bookmarkEnd w:id="17"/>
      <w:r w:rsidRPr="00356445">
        <w:rPr>
          <w:rFonts w:ascii="Times New Roman" w:hAnsi="Times New Roman" w:cs="Times New Roman"/>
          <w:color w:val="000000" w:themeColor="text1"/>
        </w:rPr>
        <w:t>12. Improvement of an Existing Project Component</w:t>
      </w:r>
    </w:p>
    <w:p w14:paraId="6CE021A7"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Week 6 extended the Week 5 Power BI dashboard rather than creating an entirely separate solution.</w:t>
      </w:r>
    </w:p>
    <w:p w14:paraId="6D78073D"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Week 5 dashboard provided an overview of:</w:t>
      </w:r>
    </w:p>
    <w:p w14:paraId="30BAADDD" w14:textId="77777777" w:rsidR="00570A1A" w:rsidRPr="00356445" w:rsidRDefault="00B314FA">
      <w:pPr>
        <w:pStyle w:val="Compact"/>
        <w:numPr>
          <w:ilvl w:val="0"/>
          <w:numId w:val="8"/>
        </w:numPr>
        <w:rPr>
          <w:rFonts w:ascii="Times New Roman" w:hAnsi="Times New Roman" w:cs="Times New Roman"/>
          <w:color w:val="000000" w:themeColor="text1"/>
        </w:rPr>
      </w:pPr>
      <w:r w:rsidRPr="00356445">
        <w:rPr>
          <w:rFonts w:ascii="Times New Roman" w:hAnsi="Times New Roman" w:cs="Times New Roman"/>
          <w:color w:val="000000" w:themeColor="text1"/>
        </w:rPr>
        <w:t>Appointment outcomes</w:t>
      </w:r>
    </w:p>
    <w:p w14:paraId="04ACD71F" w14:textId="77777777" w:rsidR="00570A1A" w:rsidRPr="00356445" w:rsidRDefault="00B314FA">
      <w:pPr>
        <w:pStyle w:val="Compact"/>
        <w:numPr>
          <w:ilvl w:val="0"/>
          <w:numId w:val="8"/>
        </w:numPr>
        <w:rPr>
          <w:rFonts w:ascii="Times New Roman" w:hAnsi="Times New Roman" w:cs="Times New Roman"/>
          <w:color w:val="000000" w:themeColor="text1"/>
        </w:rPr>
      </w:pPr>
      <w:r w:rsidRPr="00356445">
        <w:rPr>
          <w:rFonts w:ascii="Times New Roman" w:hAnsi="Times New Roman" w:cs="Times New Roman"/>
          <w:color w:val="000000" w:themeColor="text1"/>
        </w:rPr>
        <w:t>No-show behaviour</w:t>
      </w:r>
    </w:p>
    <w:p w14:paraId="75C57FF3" w14:textId="77777777" w:rsidR="00570A1A" w:rsidRPr="00356445" w:rsidRDefault="00B314FA">
      <w:pPr>
        <w:pStyle w:val="Compact"/>
        <w:numPr>
          <w:ilvl w:val="0"/>
          <w:numId w:val="8"/>
        </w:numPr>
        <w:rPr>
          <w:rFonts w:ascii="Times New Roman" w:hAnsi="Times New Roman" w:cs="Times New Roman"/>
          <w:color w:val="000000" w:themeColor="text1"/>
        </w:rPr>
      </w:pPr>
      <w:r w:rsidRPr="00356445">
        <w:rPr>
          <w:rFonts w:ascii="Times New Roman" w:hAnsi="Times New Roman" w:cs="Times New Roman"/>
          <w:color w:val="000000" w:themeColor="text1"/>
        </w:rPr>
        <w:t>Booking lead time</w:t>
      </w:r>
    </w:p>
    <w:p w14:paraId="34CA7641" w14:textId="77777777" w:rsidR="00570A1A" w:rsidRPr="00356445" w:rsidRDefault="00B314FA">
      <w:pPr>
        <w:pStyle w:val="Compact"/>
        <w:numPr>
          <w:ilvl w:val="0"/>
          <w:numId w:val="8"/>
        </w:numPr>
        <w:rPr>
          <w:rFonts w:ascii="Times New Roman" w:hAnsi="Times New Roman" w:cs="Times New Roman"/>
          <w:color w:val="000000" w:themeColor="text1"/>
        </w:rPr>
      </w:pPr>
      <w:r w:rsidRPr="00356445">
        <w:rPr>
          <w:rFonts w:ascii="Times New Roman" w:hAnsi="Times New Roman" w:cs="Times New Roman"/>
          <w:color w:val="000000" w:themeColor="text1"/>
        </w:rPr>
        <w:t>Reminder coverage</w:t>
      </w:r>
    </w:p>
    <w:p w14:paraId="56276185" w14:textId="77777777" w:rsidR="00570A1A" w:rsidRPr="00356445" w:rsidRDefault="00B314FA">
      <w:pPr>
        <w:pStyle w:val="Compact"/>
        <w:numPr>
          <w:ilvl w:val="0"/>
          <w:numId w:val="8"/>
        </w:numPr>
        <w:rPr>
          <w:rFonts w:ascii="Times New Roman" w:hAnsi="Times New Roman" w:cs="Times New Roman"/>
          <w:color w:val="000000" w:themeColor="text1"/>
        </w:rPr>
      </w:pPr>
      <w:r w:rsidRPr="00356445">
        <w:rPr>
          <w:rFonts w:ascii="Times New Roman" w:hAnsi="Times New Roman" w:cs="Times New Roman"/>
          <w:color w:val="000000" w:themeColor="text1"/>
        </w:rPr>
        <w:t>Appointment characteristics</w:t>
      </w:r>
    </w:p>
    <w:p w14:paraId="3FD51737"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Week 6 analysis provided deeper evidence that could be used to strengthen the dashboard interpretation.</w:t>
      </w:r>
    </w:p>
    <w:p w14:paraId="6CE86208"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The additional analysis identified important relationships such as:</w:t>
      </w:r>
    </w:p>
    <w:p w14:paraId="2A05D0EE" w14:textId="77777777" w:rsidR="00570A1A" w:rsidRPr="00356445" w:rsidRDefault="00B314FA">
      <w:pPr>
        <w:pStyle w:val="Compact"/>
        <w:numPr>
          <w:ilvl w:val="0"/>
          <w:numId w:val="9"/>
        </w:numPr>
        <w:rPr>
          <w:rFonts w:ascii="Times New Roman" w:hAnsi="Times New Roman" w:cs="Times New Roman"/>
          <w:color w:val="000000" w:themeColor="text1"/>
        </w:rPr>
      </w:pPr>
      <w:r w:rsidRPr="00356445">
        <w:rPr>
          <w:rFonts w:ascii="Times New Roman" w:hAnsi="Times New Roman" w:cs="Times New Roman"/>
          <w:color w:val="000000" w:themeColor="text1"/>
        </w:rPr>
        <w:t>Lead time × previous no-show history</w:t>
      </w:r>
    </w:p>
    <w:p w14:paraId="3C2D1666" w14:textId="77777777" w:rsidR="00570A1A" w:rsidRPr="00356445" w:rsidRDefault="00B314FA">
      <w:pPr>
        <w:pStyle w:val="Compact"/>
        <w:numPr>
          <w:ilvl w:val="0"/>
          <w:numId w:val="9"/>
        </w:numPr>
        <w:rPr>
          <w:rFonts w:ascii="Times New Roman" w:hAnsi="Times New Roman" w:cs="Times New Roman"/>
          <w:color w:val="000000" w:themeColor="text1"/>
        </w:rPr>
      </w:pPr>
      <w:r w:rsidRPr="00356445">
        <w:rPr>
          <w:rFonts w:ascii="Times New Roman" w:hAnsi="Times New Roman" w:cs="Times New Roman"/>
          <w:color w:val="000000" w:themeColor="text1"/>
        </w:rPr>
        <w:t>Lead time × reminder status</w:t>
      </w:r>
    </w:p>
    <w:p w14:paraId="28C11C06" w14:textId="77777777" w:rsidR="00570A1A" w:rsidRPr="00356445" w:rsidRDefault="00B314FA">
      <w:pPr>
        <w:pStyle w:val="Compact"/>
        <w:numPr>
          <w:ilvl w:val="0"/>
          <w:numId w:val="9"/>
        </w:numPr>
        <w:rPr>
          <w:rFonts w:ascii="Times New Roman" w:hAnsi="Times New Roman" w:cs="Times New Roman"/>
          <w:color w:val="000000" w:themeColor="text1"/>
        </w:rPr>
      </w:pPr>
      <w:r w:rsidRPr="00356445">
        <w:rPr>
          <w:rFonts w:ascii="Times New Roman" w:hAnsi="Times New Roman" w:cs="Times New Roman"/>
          <w:color w:val="000000" w:themeColor="text1"/>
        </w:rPr>
        <w:t>Previous no-show history × reminder status</w:t>
      </w:r>
    </w:p>
    <w:p w14:paraId="135CEB46"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These findings provide a stronger basis for identifying higher-risk appointment groups and support the development of more targeted analytical views.</w:t>
      </w:r>
    </w:p>
    <w:p w14:paraId="6EBA8EC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dashboard therefore serves not only as a descriptive reporting tool but also as a platform for interpreting patterns identified through the deeper Week 6 analysis.</w:t>
      </w:r>
    </w:p>
    <w:p w14:paraId="72859DBE" w14:textId="77777777" w:rsidR="00570A1A" w:rsidRPr="00356445" w:rsidRDefault="00B314FA">
      <w:pPr>
        <w:pStyle w:val="Heading1"/>
        <w:rPr>
          <w:rFonts w:ascii="Times New Roman" w:hAnsi="Times New Roman" w:cs="Times New Roman"/>
          <w:color w:val="000000" w:themeColor="text1"/>
        </w:rPr>
      </w:pPr>
      <w:bookmarkStart w:id="19" w:name="mandatory-cross-track-integration"/>
      <w:bookmarkEnd w:id="18"/>
      <w:r w:rsidRPr="00356445">
        <w:rPr>
          <w:rFonts w:ascii="Times New Roman" w:hAnsi="Times New Roman" w:cs="Times New Roman"/>
          <w:color w:val="000000" w:themeColor="text1"/>
        </w:rPr>
        <w:t>13. Mandatory Cross-Track Integration</w:t>
      </w:r>
    </w:p>
    <w:p w14:paraId="0B0177F7" w14:textId="77777777" w:rsidR="00570A1A" w:rsidRPr="00356445" w:rsidRDefault="00B314FA">
      <w:pPr>
        <w:pStyle w:val="Heading2"/>
        <w:rPr>
          <w:rFonts w:ascii="Times New Roman" w:hAnsi="Times New Roman" w:cs="Times New Roman"/>
          <w:color w:val="000000" w:themeColor="text1"/>
        </w:rPr>
      </w:pPr>
      <w:bookmarkStart w:id="20" w:name="track-collaborated-with"/>
      <w:r w:rsidRPr="00356445">
        <w:rPr>
          <w:rFonts w:ascii="Times New Roman" w:hAnsi="Times New Roman" w:cs="Times New Roman"/>
          <w:color w:val="000000" w:themeColor="text1"/>
        </w:rPr>
        <w:t>13.1 Track Collaborated With</w:t>
      </w:r>
    </w:p>
    <w:p w14:paraId="5263EE9C"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b/>
          <w:bCs/>
          <w:color w:val="000000" w:themeColor="text1"/>
        </w:rPr>
        <w:t>Data Science</w:t>
      </w:r>
    </w:p>
    <w:p w14:paraId="6175FEBC" w14:textId="77777777" w:rsidR="00570A1A" w:rsidRPr="00356445" w:rsidRDefault="00B314FA">
      <w:pPr>
        <w:pStyle w:val="Heading2"/>
        <w:rPr>
          <w:rFonts w:ascii="Times New Roman" w:hAnsi="Times New Roman" w:cs="Times New Roman"/>
          <w:color w:val="000000" w:themeColor="text1"/>
        </w:rPr>
      </w:pPr>
      <w:bookmarkStart w:id="21" w:name="project-dependency"/>
      <w:bookmarkEnd w:id="20"/>
      <w:r w:rsidRPr="00356445">
        <w:rPr>
          <w:rFonts w:ascii="Times New Roman" w:hAnsi="Times New Roman" w:cs="Times New Roman"/>
          <w:color w:val="000000" w:themeColor="text1"/>
        </w:rPr>
        <w:t>13.2 Project Dependency</w:t>
      </w:r>
    </w:p>
    <w:p w14:paraId="06BA54E8"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Data Analytics solution required comparison and validation against relevant Data Science analysis of the same HealthConnect Clinic appointment dataset.</w:t>
      </w:r>
    </w:p>
    <w:p w14:paraId="3557FD42"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dependency was particularly relevant to the interpretation of the no-show KPI and the identification of factors associated with missed appointments.</w:t>
      </w:r>
    </w:p>
    <w:p w14:paraId="6A05B801" w14:textId="77777777" w:rsidR="00570A1A" w:rsidRPr="00356445" w:rsidRDefault="00B314FA">
      <w:pPr>
        <w:pStyle w:val="Heading2"/>
        <w:rPr>
          <w:rFonts w:ascii="Times New Roman" w:hAnsi="Times New Roman" w:cs="Times New Roman"/>
          <w:color w:val="000000" w:themeColor="text1"/>
        </w:rPr>
      </w:pPr>
      <w:bookmarkStart w:id="22" w:name="informationoutput-received"/>
      <w:bookmarkEnd w:id="21"/>
      <w:r w:rsidRPr="00356445">
        <w:rPr>
          <w:rFonts w:ascii="Times New Roman" w:hAnsi="Times New Roman" w:cs="Times New Roman"/>
          <w:color w:val="000000" w:themeColor="text1"/>
        </w:rPr>
        <w:t>13.3 Information/Output Received</w:t>
      </w:r>
    </w:p>
    <w:p w14:paraId="7870FA71"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Data Science analysis provided an alternative calculation of the no-show rate using:</w:t>
      </w:r>
    </w:p>
    <w:p w14:paraId="2144B976"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No-Show Rate = No-Shows ÷ (No-Shows + Attended) × 100</w:t>
      </w:r>
    </w:p>
    <w:p w14:paraId="648BB9CF"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excluded cancelled appointments from the denominator.</w:t>
      </w:r>
    </w:p>
    <w:p w14:paraId="5F642126"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Data Science output therefore provided an independent analytical perspective against which the Data Analytics calculation could be reviewed.</w:t>
      </w:r>
    </w:p>
    <w:p w14:paraId="25CC0D98" w14:textId="77777777" w:rsidR="00570A1A" w:rsidRPr="00356445" w:rsidRDefault="00B314FA">
      <w:pPr>
        <w:pStyle w:val="Heading2"/>
        <w:rPr>
          <w:rFonts w:ascii="Times New Roman" w:hAnsi="Times New Roman" w:cs="Times New Roman"/>
          <w:color w:val="000000" w:themeColor="text1"/>
        </w:rPr>
      </w:pPr>
      <w:bookmarkStart w:id="23" w:name="informationoutput-provided"/>
      <w:bookmarkEnd w:id="22"/>
      <w:r w:rsidRPr="00356445">
        <w:rPr>
          <w:rFonts w:ascii="Times New Roman" w:hAnsi="Times New Roman" w:cs="Times New Roman"/>
          <w:color w:val="000000" w:themeColor="text1"/>
        </w:rPr>
        <w:t>13.4 Information/Output Provided</w:t>
      </w:r>
    </w:p>
    <w:p w14:paraId="20324348"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Data Analytics track provided its own no-show analysis and findings, including:</w:t>
      </w:r>
    </w:p>
    <w:p w14:paraId="434BEA70" w14:textId="77777777" w:rsidR="00570A1A" w:rsidRPr="00356445" w:rsidRDefault="00B314FA">
      <w:pPr>
        <w:pStyle w:val="Compact"/>
        <w:numPr>
          <w:ilvl w:val="0"/>
          <w:numId w:val="10"/>
        </w:numPr>
        <w:rPr>
          <w:rFonts w:ascii="Times New Roman" w:hAnsi="Times New Roman" w:cs="Times New Roman"/>
          <w:color w:val="000000" w:themeColor="text1"/>
        </w:rPr>
      </w:pPr>
      <w:r w:rsidRPr="00356445">
        <w:rPr>
          <w:rFonts w:ascii="Times New Roman" w:hAnsi="Times New Roman" w:cs="Times New Roman"/>
          <w:color w:val="000000" w:themeColor="text1"/>
        </w:rPr>
        <w:t>Overall no-show rate.</w:t>
      </w:r>
    </w:p>
    <w:p w14:paraId="526D96E4" w14:textId="77777777" w:rsidR="00570A1A" w:rsidRPr="00356445" w:rsidRDefault="00B314FA">
      <w:pPr>
        <w:pStyle w:val="Compact"/>
        <w:numPr>
          <w:ilvl w:val="0"/>
          <w:numId w:val="10"/>
        </w:numPr>
        <w:rPr>
          <w:rFonts w:ascii="Times New Roman" w:hAnsi="Times New Roman" w:cs="Times New Roman"/>
          <w:color w:val="000000" w:themeColor="text1"/>
        </w:rPr>
      </w:pPr>
      <w:r w:rsidRPr="00356445">
        <w:rPr>
          <w:rFonts w:ascii="Times New Roman" w:hAnsi="Times New Roman" w:cs="Times New Roman"/>
          <w:color w:val="000000" w:themeColor="text1"/>
        </w:rPr>
        <w:t>Booking lead-time analysis.</w:t>
      </w:r>
    </w:p>
    <w:p w14:paraId="51427840" w14:textId="77777777" w:rsidR="00570A1A" w:rsidRPr="00356445" w:rsidRDefault="00B314FA">
      <w:pPr>
        <w:pStyle w:val="Compact"/>
        <w:numPr>
          <w:ilvl w:val="0"/>
          <w:numId w:val="10"/>
        </w:numPr>
        <w:rPr>
          <w:rFonts w:ascii="Times New Roman" w:hAnsi="Times New Roman" w:cs="Times New Roman"/>
          <w:color w:val="000000" w:themeColor="text1"/>
        </w:rPr>
      </w:pPr>
      <w:r w:rsidRPr="00356445">
        <w:rPr>
          <w:rFonts w:ascii="Times New Roman" w:hAnsi="Times New Roman" w:cs="Times New Roman"/>
          <w:color w:val="000000" w:themeColor="text1"/>
        </w:rPr>
        <w:t>Previous no-show analysis.</w:t>
      </w:r>
    </w:p>
    <w:p w14:paraId="7E0C1DC4" w14:textId="77777777" w:rsidR="00570A1A" w:rsidRPr="00356445" w:rsidRDefault="00B314FA">
      <w:pPr>
        <w:pStyle w:val="Compact"/>
        <w:numPr>
          <w:ilvl w:val="0"/>
          <w:numId w:val="10"/>
        </w:numPr>
        <w:rPr>
          <w:rFonts w:ascii="Times New Roman" w:hAnsi="Times New Roman" w:cs="Times New Roman"/>
          <w:color w:val="000000" w:themeColor="text1"/>
        </w:rPr>
      </w:pPr>
      <w:r w:rsidRPr="00356445">
        <w:rPr>
          <w:rFonts w:ascii="Times New Roman" w:hAnsi="Times New Roman" w:cs="Times New Roman"/>
          <w:color w:val="000000" w:themeColor="text1"/>
        </w:rPr>
        <w:t>Lead time × previous no-show analysis.</w:t>
      </w:r>
    </w:p>
    <w:p w14:paraId="31DEE556" w14:textId="77777777" w:rsidR="00570A1A" w:rsidRPr="00356445" w:rsidRDefault="00B314FA">
      <w:pPr>
        <w:pStyle w:val="Compact"/>
        <w:numPr>
          <w:ilvl w:val="0"/>
          <w:numId w:val="10"/>
        </w:numPr>
        <w:rPr>
          <w:rFonts w:ascii="Times New Roman" w:hAnsi="Times New Roman" w:cs="Times New Roman"/>
          <w:color w:val="000000" w:themeColor="text1"/>
        </w:rPr>
      </w:pPr>
      <w:r w:rsidRPr="00356445">
        <w:rPr>
          <w:rFonts w:ascii="Times New Roman" w:hAnsi="Times New Roman" w:cs="Times New Roman"/>
          <w:color w:val="000000" w:themeColor="text1"/>
        </w:rPr>
        <w:t>Reminder-related analysis.</w:t>
      </w:r>
    </w:p>
    <w:p w14:paraId="4F10D4E8" w14:textId="77777777" w:rsidR="00570A1A" w:rsidRPr="00356445" w:rsidRDefault="00B314FA">
      <w:pPr>
        <w:pStyle w:val="Compact"/>
        <w:numPr>
          <w:ilvl w:val="0"/>
          <w:numId w:val="10"/>
        </w:numPr>
        <w:rPr>
          <w:rFonts w:ascii="Times New Roman" w:hAnsi="Times New Roman" w:cs="Times New Roman"/>
          <w:color w:val="000000" w:themeColor="text1"/>
        </w:rPr>
      </w:pPr>
      <w:r w:rsidRPr="00356445">
        <w:rPr>
          <w:rFonts w:ascii="Times New Roman" w:hAnsi="Times New Roman" w:cs="Times New Roman"/>
          <w:color w:val="000000" w:themeColor="text1"/>
        </w:rPr>
        <w:t>Other appointment characteristic analysis.</w:t>
      </w:r>
    </w:p>
    <w:p w14:paraId="53C498C1"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The Data Analytics team also provided the methodology used to calculate the no-show rate so that it could be compared with the Data Science approach.</w:t>
      </w:r>
    </w:p>
    <w:p w14:paraId="7EA805E1" w14:textId="77777777" w:rsidR="00570A1A" w:rsidRPr="00356445" w:rsidRDefault="00B314FA">
      <w:pPr>
        <w:pStyle w:val="Heading1"/>
        <w:rPr>
          <w:rFonts w:ascii="Times New Roman" w:hAnsi="Times New Roman" w:cs="Times New Roman"/>
          <w:color w:val="000000" w:themeColor="text1"/>
        </w:rPr>
      </w:pPr>
      <w:bookmarkStart w:id="24" w:name="cross-track-validation"/>
      <w:bookmarkEnd w:id="19"/>
      <w:bookmarkEnd w:id="23"/>
      <w:r w:rsidRPr="00356445">
        <w:rPr>
          <w:rFonts w:ascii="Times New Roman" w:hAnsi="Times New Roman" w:cs="Times New Roman"/>
          <w:color w:val="000000" w:themeColor="text1"/>
        </w:rPr>
        <w:t>14. Cross-Track Validation</w:t>
      </w:r>
    </w:p>
    <w:p w14:paraId="0EF674DD"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two analytical approaches were compared because the reported no-show percentages differed.</w:t>
      </w:r>
    </w:p>
    <w:p w14:paraId="1FEDF9F6"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Data Analytics approach used:</w:t>
      </w:r>
    </w:p>
    <w:p w14:paraId="079B0446"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No-Show ÷ Total Appointments</w:t>
      </w:r>
    </w:p>
    <w:p w14:paraId="60FFA3DB"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where:</w:t>
      </w:r>
    </w:p>
    <w:p w14:paraId="4A3DEBC3"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Total Appointments = No-Show + Attended + Cancelled</w:t>
      </w:r>
    </w:p>
    <w:p w14:paraId="448A8490"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produced:</w:t>
      </w:r>
    </w:p>
    <w:p w14:paraId="110C514C"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2,423 ÷ 5,000 × 100 = 48.46%</w:t>
      </w:r>
    </w:p>
    <w:p w14:paraId="209780F1"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Data Science approach used:</w:t>
      </w:r>
    </w:p>
    <w:p w14:paraId="6F3A5718"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No-Show ÷ (No-Show + Attended)</w:t>
      </w:r>
    </w:p>
    <w:p w14:paraId="2C2C20BE"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difference was therefore traced to the denominator rather than to a difference in the number of no-show appointments.</w:t>
      </w:r>
    </w:p>
    <w:p w14:paraId="33F0D79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validation was important because presenting both percentages as though they represented the same KPI could create confusion.</w:t>
      </w:r>
    </w:p>
    <w:p w14:paraId="398B8908"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cross-track review established that the two calculations measure different proportions of the appointment population.</w:t>
      </w:r>
    </w:p>
    <w:p w14:paraId="6F43981B" w14:textId="77777777" w:rsidR="00570A1A" w:rsidRPr="00356445" w:rsidRDefault="00B314FA">
      <w:pPr>
        <w:pStyle w:val="Heading1"/>
        <w:rPr>
          <w:rFonts w:ascii="Times New Roman" w:hAnsi="Times New Roman" w:cs="Times New Roman"/>
          <w:color w:val="000000" w:themeColor="text1"/>
        </w:rPr>
      </w:pPr>
      <w:bookmarkStart w:id="25" w:name="X0d32117f4d5c3c678bdff71c454cd81170709fe"/>
      <w:bookmarkEnd w:id="24"/>
      <w:r w:rsidRPr="00356445">
        <w:rPr>
          <w:rFonts w:ascii="Times New Roman" w:hAnsi="Times New Roman" w:cs="Times New Roman"/>
          <w:color w:val="000000" w:themeColor="text1"/>
        </w:rPr>
        <w:t>15. Integration Issue Identified and Resolved</w:t>
      </w:r>
    </w:p>
    <w:p w14:paraId="0F2F45D0"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main integration issue was the inconsistent definition of the no-show rate.</w:t>
      </w:r>
    </w:p>
    <w:p w14:paraId="2395F5BC"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issue was resolved by explicitly documenting the denominator used by each track.</w:t>
      </w:r>
    </w:p>
    <w:p w14:paraId="4B00F77A"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For the Data Analytics solution, the existing definition was retained:</w:t>
      </w:r>
    </w:p>
    <w:p w14:paraId="7F22D66A"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No-Show Rate = No-Shows ÷ All Appointments × 100</w:t>
      </w:r>
    </w:p>
    <w:p w14:paraId="76888B34"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was selected because:</w:t>
      </w:r>
    </w:p>
    <w:p w14:paraId="6F513CE7" w14:textId="77777777" w:rsidR="00570A1A" w:rsidRPr="00356445" w:rsidRDefault="00B314FA">
      <w:pPr>
        <w:pStyle w:val="Compact"/>
        <w:numPr>
          <w:ilvl w:val="0"/>
          <w:numId w:val="11"/>
        </w:numPr>
        <w:rPr>
          <w:rFonts w:ascii="Times New Roman" w:hAnsi="Times New Roman" w:cs="Times New Roman"/>
          <w:color w:val="000000" w:themeColor="text1"/>
        </w:rPr>
      </w:pPr>
      <w:r w:rsidRPr="00356445">
        <w:rPr>
          <w:rFonts w:ascii="Times New Roman" w:hAnsi="Times New Roman" w:cs="Times New Roman"/>
          <w:color w:val="000000" w:themeColor="text1"/>
        </w:rPr>
        <w:t>It is consistent with the appointment outcome structure.</w:t>
      </w:r>
    </w:p>
    <w:p w14:paraId="1A9A633B" w14:textId="77777777" w:rsidR="00570A1A" w:rsidRPr="00356445" w:rsidRDefault="00B314FA">
      <w:pPr>
        <w:pStyle w:val="Compact"/>
        <w:numPr>
          <w:ilvl w:val="0"/>
          <w:numId w:val="11"/>
        </w:numPr>
        <w:rPr>
          <w:rFonts w:ascii="Times New Roman" w:hAnsi="Times New Roman" w:cs="Times New Roman"/>
          <w:color w:val="000000" w:themeColor="text1"/>
        </w:rPr>
      </w:pPr>
      <w:r w:rsidRPr="00356445">
        <w:rPr>
          <w:rFonts w:ascii="Times New Roman" w:hAnsi="Times New Roman" w:cs="Times New Roman"/>
          <w:color w:val="000000" w:themeColor="text1"/>
        </w:rPr>
        <w:t>It includes all three appointment outcomes.</w:t>
      </w:r>
    </w:p>
    <w:p w14:paraId="2FDD84E8" w14:textId="77777777" w:rsidR="00570A1A" w:rsidRPr="00356445" w:rsidRDefault="00B314FA">
      <w:pPr>
        <w:pStyle w:val="Compact"/>
        <w:numPr>
          <w:ilvl w:val="0"/>
          <w:numId w:val="11"/>
        </w:numPr>
        <w:rPr>
          <w:rFonts w:ascii="Times New Roman" w:hAnsi="Times New Roman" w:cs="Times New Roman"/>
          <w:color w:val="000000" w:themeColor="text1"/>
        </w:rPr>
      </w:pPr>
      <w:r w:rsidRPr="00356445">
        <w:rPr>
          <w:rFonts w:ascii="Times New Roman" w:hAnsi="Times New Roman" w:cs="Times New Roman"/>
          <w:color w:val="000000" w:themeColor="text1"/>
        </w:rPr>
        <w:t>It maintains consistency with the Week 5 dashboard.</w:t>
      </w:r>
    </w:p>
    <w:p w14:paraId="60409424" w14:textId="77777777" w:rsidR="00570A1A" w:rsidRPr="00356445" w:rsidRDefault="00B314FA">
      <w:pPr>
        <w:pStyle w:val="Compact"/>
        <w:numPr>
          <w:ilvl w:val="0"/>
          <w:numId w:val="11"/>
        </w:numPr>
        <w:rPr>
          <w:rFonts w:ascii="Times New Roman" w:hAnsi="Times New Roman" w:cs="Times New Roman"/>
          <w:color w:val="000000" w:themeColor="text1"/>
        </w:rPr>
      </w:pPr>
      <w:r w:rsidRPr="00356445">
        <w:rPr>
          <w:rFonts w:ascii="Times New Roman" w:hAnsi="Times New Roman" w:cs="Times New Roman"/>
          <w:color w:val="000000" w:themeColor="text1"/>
        </w:rPr>
        <w:t>It prevents the Week 6 dashboard from using a different KPI definition from the earlier project stage.</w:t>
      </w:r>
    </w:p>
    <w:p w14:paraId="28801D72"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The Data Science result was therefore used as a complementary analytical output rather than replacing the existing Data Analytics KPI.</w:t>
      </w:r>
    </w:p>
    <w:p w14:paraId="6631C3AE" w14:textId="77777777" w:rsidR="00570A1A" w:rsidRPr="00356445" w:rsidRDefault="00B314FA">
      <w:pPr>
        <w:pStyle w:val="Heading1"/>
        <w:rPr>
          <w:rFonts w:ascii="Times New Roman" w:hAnsi="Times New Roman" w:cs="Times New Roman"/>
          <w:color w:val="000000" w:themeColor="text1"/>
        </w:rPr>
      </w:pPr>
      <w:bookmarkStart w:id="26" w:name="technical-and-analytical-decisions"/>
      <w:bookmarkEnd w:id="25"/>
      <w:r w:rsidRPr="00356445">
        <w:rPr>
          <w:rFonts w:ascii="Times New Roman" w:hAnsi="Times New Roman" w:cs="Times New Roman"/>
          <w:color w:val="000000" w:themeColor="text1"/>
        </w:rPr>
        <w:t>16. Technical and Analytical Decisions</w:t>
      </w:r>
    </w:p>
    <w:p w14:paraId="1E2CC9F9" w14:textId="77777777" w:rsidR="00570A1A" w:rsidRPr="00356445" w:rsidRDefault="00B314FA">
      <w:pPr>
        <w:pStyle w:val="Heading3"/>
        <w:rPr>
          <w:rFonts w:ascii="Times New Roman" w:hAnsi="Times New Roman" w:cs="Times New Roman"/>
          <w:color w:val="000000" w:themeColor="text1"/>
        </w:rPr>
      </w:pPr>
      <w:bookmarkStart w:id="27" w:name="no-show-rate"/>
      <w:r w:rsidRPr="00356445">
        <w:rPr>
          <w:rFonts w:ascii="Times New Roman" w:hAnsi="Times New Roman" w:cs="Times New Roman"/>
          <w:color w:val="000000" w:themeColor="text1"/>
        </w:rPr>
        <w:t>No-Show Rate</w:t>
      </w:r>
    </w:p>
    <w:p w14:paraId="374D0E2E"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Data Analytics definition was retained:</w:t>
      </w:r>
    </w:p>
    <w:p w14:paraId="2225C172"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No-Shows ÷ Total Appointments × 100</w:t>
      </w:r>
    </w:p>
    <w:p w14:paraId="1D7AF7E0" w14:textId="77777777" w:rsidR="00570A1A" w:rsidRPr="00356445" w:rsidRDefault="00B314FA">
      <w:pPr>
        <w:pStyle w:val="Heading3"/>
        <w:rPr>
          <w:rFonts w:ascii="Times New Roman" w:hAnsi="Times New Roman" w:cs="Times New Roman"/>
          <w:color w:val="000000" w:themeColor="text1"/>
        </w:rPr>
      </w:pPr>
      <w:bookmarkStart w:id="28" w:name="treatment-of-cancellations"/>
      <w:bookmarkEnd w:id="27"/>
      <w:r w:rsidRPr="00356445">
        <w:rPr>
          <w:rFonts w:ascii="Times New Roman" w:hAnsi="Times New Roman" w:cs="Times New Roman"/>
          <w:color w:val="000000" w:themeColor="text1"/>
        </w:rPr>
        <w:t>Treatment of Cancellations</w:t>
      </w:r>
    </w:p>
    <w:p w14:paraId="11840E77"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Cancelled appointments remained a separate outcome and were included in the total appointment count.</w:t>
      </w:r>
    </w:p>
    <w:p w14:paraId="122BA6A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Cancellations were not classified as no-shows.</w:t>
      </w:r>
    </w:p>
    <w:p w14:paraId="2FA509B8" w14:textId="77777777" w:rsidR="00570A1A" w:rsidRPr="00356445" w:rsidRDefault="00B314FA">
      <w:pPr>
        <w:pStyle w:val="Heading3"/>
        <w:rPr>
          <w:rFonts w:ascii="Times New Roman" w:hAnsi="Times New Roman" w:cs="Times New Roman"/>
          <w:color w:val="000000" w:themeColor="text1"/>
        </w:rPr>
      </w:pPr>
      <w:bookmarkStart w:id="29" w:name="use-of-data-science-output"/>
      <w:bookmarkEnd w:id="28"/>
      <w:r w:rsidRPr="00356445">
        <w:rPr>
          <w:rFonts w:ascii="Times New Roman" w:hAnsi="Times New Roman" w:cs="Times New Roman"/>
          <w:color w:val="000000" w:themeColor="text1"/>
        </w:rPr>
        <w:t>Use of Data Science Output</w:t>
      </w:r>
    </w:p>
    <w:p w14:paraId="6972A265"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Data Science analysis was used for comparison and validation rather than directly replacing the Data Analytics calculations.</w:t>
      </w:r>
    </w:p>
    <w:p w14:paraId="6DCCF2A0" w14:textId="77777777" w:rsidR="00570A1A" w:rsidRPr="00356445" w:rsidRDefault="00B314FA">
      <w:pPr>
        <w:pStyle w:val="Heading3"/>
        <w:rPr>
          <w:rFonts w:ascii="Times New Roman" w:hAnsi="Times New Roman" w:cs="Times New Roman"/>
          <w:color w:val="000000" w:themeColor="text1"/>
        </w:rPr>
      </w:pPr>
      <w:bookmarkStart w:id="30" w:name="interpretation-of-relationships"/>
      <w:bookmarkEnd w:id="29"/>
      <w:r w:rsidRPr="00356445">
        <w:rPr>
          <w:rFonts w:ascii="Times New Roman" w:hAnsi="Times New Roman" w:cs="Times New Roman"/>
          <w:color w:val="000000" w:themeColor="text1"/>
        </w:rPr>
        <w:t>Interpretation of Relationships</w:t>
      </w:r>
    </w:p>
    <w:p w14:paraId="6A84E094"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observed relationships were treated as associations rather than causal conclusions.</w:t>
      </w:r>
    </w:p>
    <w:p w14:paraId="06A882BC"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For example, the higher no-show rate associated with longer booking lead times does not by itself prove that longer lead time causes missed appointments.</w:t>
      </w:r>
    </w:p>
    <w:p w14:paraId="09AC082B" w14:textId="77777777" w:rsidR="00570A1A" w:rsidRPr="00356445" w:rsidRDefault="00B314FA">
      <w:pPr>
        <w:pStyle w:val="Heading3"/>
        <w:rPr>
          <w:rFonts w:ascii="Times New Roman" w:hAnsi="Times New Roman" w:cs="Times New Roman"/>
          <w:color w:val="000000" w:themeColor="text1"/>
        </w:rPr>
      </w:pPr>
      <w:bookmarkStart w:id="31" w:name="small-groups"/>
      <w:bookmarkEnd w:id="30"/>
      <w:r w:rsidRPr="00356445">
        <w:rPr>
          <w:rFonts w:ascii="Times New Roman" w:hAnsi="Times New Roman" w:cs="Times New Roman"/>
          <w:color w:val="000000" w:themeColor="text1"/>
        </w:rPr>
        <w:t>Small Groups</w:t>
      </w:r>
    </w:p>
    <w:p w14:paraId="27C210FF"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Where an analysis involved a relatively small number of appointments, the result was treated cautiously and was not used as a primary basis for intervention.</w:t>
      </w:r>
    </w:p>
    <w:p w14:paraId="79D0CCD0" w14:textId="77777777" w:rsidR="00570A1A" w:rsidRPr="00356445" w:rsidRDefault="00B314FA">
      <w:pPr>
        <w:pStyle w:val="Heading1"/>
        <w:rPr>
          <w:rFonts w:ascii="Times New Roman" w:hAnsi="Times New Roman" w:cs="Times New Roman"/>
          <w:color w:val="000000" w:themeColor="text1"/>
        </w:rPr>
      </w:pPr>
      <w:bookmarkStart w:id="32" w:name="limitations"/>
      <w:bookmarkEnd w:id="26"/>
      <w:bookmarkEnd w:id="31"/>
      <w:r w:rsidRPr="00356445">
        <w:rPr>
          <w:rFonts w:ascii="Times New Roman" w:hAnsi="Times New Roman" w:cs="Times New Roman"/>
          <w:color w:val="000000" w:themeColor="text1"/>
        </w:rPr>
        <w:t>17. Limitations</w:t>
      </w:r>
    </w:p>
    <w:p w14:paraId="5A4E4FA2"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Week 6 solution has several limitations.</w:t>
      </w:r>
    </w:p>
    <w:p w14:paraId="0951CE4D"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First, the no-show percentage depends on the calculation definition. The Data Analytics and Data Science percentages cannot be directly compared without considering their different denominators.</w:t>
      </w:r>
    </w:p>
    <w:p w14:paraId="22640849"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Second, the Week 6 analysis focused primarily on no-show behaviour. Cancellation behaviour was retained in the dataset but was not investigated to the same depth.</w:t>
      </w:r>
    </w:p>
    <w:p w14:paraId="729EA7B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Third, the analysis identifies associations and does not establish causation.</w:t>
      </w:r>
    </w:p>
    <w:p w14:paraId="4B951775"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Fourth, some groups contain relatively small numbers of appointments, meaning that their percentages may not be sufficiently representative for strong operational conclusions.</w:t>
      </w:r>
    </w:p>
    <w:p w14:paraId="31B1C6A3"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lastRenderedPageBreak/>
        <w:t>Finally, additional data and testing would be required before the identified patterns could be translated into confirmed intervention rules.</w:t>
      </w:r>
    </w:p>
    <w:p w14:paraId="79EF7968" w14:textId="77777777" w:rsidR="00570A1A" w:rsidRPr="00356445" w:rsidRDefault="00B314FA">
      <w:pPr>
        <w:pStyle w:val="Heading1"/>
        <w:rPr>
          <w:rFonts w:ascii="Times New Roman" w:hAnsi="Times New Roman" w:cs="Times New Roman"/>
          <w:color w:val="000000" w:themeColor="text1"/>
        </w:rPr>
      </w:pPr>
      <w:bookmarkStart w:id="33" w:name="evidence-of-cross-track-integration"/>
      <w:bookmarkEnd w:id="32"/>
      <w:r w:rsidRPr="00356445">
        <w:rPr>
          <w:rFonts w:ascii="Times New Roman" w:hAnsi="Times New Roman" w:cs="Times New Roman"/>
          <w:color w:val="000000" w:themeColor="text1"/>
        </w:rPr>
        <w:t>18. Evidence of Cross-Track Integration</w:t>
      </w:r>
    </w:p>
    <w:p w14:paraId="73118776"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cross-track integration can be evidenced through:</w:t>
      </w:r>
    </w:p>
    <w:p w14:paraId="02869D4D" w14:textId="77777777" w:rsidR="00570A1A" w:rsidRPr="00356445" w:rsidRDefault="00B314FA">
      <w:pPr>
        <w:pStyle w:val="Compact"/>
        <w:numPr>
          <w:ilvl w:val="0"/>
          <w:numId w:val="12"/>
        </w:numPr>
        <w:rPr>
          <w:rFonts w:ascii="Times New Roman" w:hAnsi="Times New Roman" w:cs="Times New Roman"/>
          <w:color w:val="000000" w:themeColor="text1"/>
        </w:rPr>
      </w:pPr>
      <w:r w:rsidRPr="00356445">
        <w:rPr>
          <w:rFonts w:ascii="Times New Roman" w:hAnsi="Times New Roman" w:cs="Times New Roman"/>
          <w:color w:val="000000" w:themeColor="text1"/>
        </w:rPr>
        <w:t>Data Analytics notebook outputs showing the calculated no-show rate.</w:t>
      </w:r>
    </w:p>
    <w:p w14:paraId="014D47F3" w14:textId="77777777" w:rsidR="00570A1A" w:rsidRPr="00356445" w:rsidRDefault="00B314FA">
      <w:pPr>
        <w:pStyle w:val="Compact"/>
        <w:numPr>
          <w:ilvl w:val="0"/>
          <w:numId w:val="12"/>
        </w:numPr>
        <w:rPr>
          <w:rFonts w:ascii="Times New Roman" w:hAnsi="Times New Roman" w:cs="Times New Roman"/>
          <w:color w:val="000000" w:themeColor="text1"/>
        </w:rPr>
      </w:pPr>
      <w:r w:rsidRPr="00356445">
        <w:rPr>
          <w:rFonts w:ascii="Times New Roman" w:hAnsi="Times New Roman" w:cs="Times New Roman"/>
          <w:color w:val="000000" w:themeColor="text1"/>
        </w:rPr>
        <w:t>Data Science analysis showing its alternative calculation.</w:t>
      </w:r>
    </w:p>
    <w:p w14:paraId="0CCDF8DE" w14:textId="77777777" w:rsidR="00570A1A" w:rsidRPr="00356445" w:rsidRDefault="00B314FA">
      <w:pPr>
        <w:pStyle w:val="Compact"/>
        <w:numPr>
          <w:ilvl w:val="0"/>
          <w:numId w:val="12"/>
        </w:numPr>
        <w:rPr>
          <w:rFonts w:ascii="Times New Roman" w:hAnsi="Times New Roman" w:cs="Times New Roman"/>
          <w:color w:val="000000" w:themeColor="text1"/>
        </w:rPr>
      </w:pPr>
      <w:r w:rsidRPr="00356445">
        <w:rPr>
          <w:rFonts w:ascii="Times New Roman" w:hAnsi="Times New Roman" w:cs="Times New Roman"/>
          <w:color w:val="000000" w:themeColor="text1"/>
        </w:rPr>
        <w:t>Comparison of the two denominator definitions.</w:t>
      </w:r>
    </w:p>
    <w:p w14:paraId="54D120FA" w14:textId="77777777" w:rsidR="00570A1A" w:rsidRPr="00356445" w:rsidRDefault="00B314FA">
      <w:pPr>
        <w:pStyle w:val="Compact"/>
        <w:numPr>
          <w:ilvl w:val="0"/>
          <w:numId w:val="12"/>
        </w:numPr>
        <w:rPr>
          <w:rFonts w:ascii="Times New Roman" w:hAnsi="Times New Roman" w:cs="Times New Roman"/>
          <w:color w:val="000000" w:themeColor="text1"/>
        </w:rPr>
      </w:pPr>
      <w:r w:rsidRPr="00356445">
        <w:rPr>
          <w:rFonts w:ascii="Times New Roman" w:hAnsi="Times New Roman" w:cs="Times New Roman"/>
          <w:color w:val="000000" w:themeColor="text1"/>
        </w:rPr>
        <w:t>Documentation of the appointment outcome categories.</w:t>
      </w:r>
    </w:p>
    <w:p w14:paraId="75EAF6B5" w14:textId="77777777" w:rsidR="00570A1A" w:rsidRPr="00356445" w:rsidRDefault="00B314FA">
      <w:pPr>
        <w:pStyle w:val="Compact"/>
        <w:numPr>
          <w:ilvl w:val="0"/>
          <w:numId w:val="12"/>
        </w:numPr>
        <w:rPr>
          <w:rFonts w:ascii="Times New Roman" w:hAnsi="Times New Roman" w:cs="Times New Roman"/>
          <w:color w:val="000000" w:themeColor="text1"/>
        </w:rPr>
      </w:pPr>
      <w:r w:rsidRPr="00356445">
        <w:rPr>
          <w:rFonts w:ascii="Times New Roman" w:hAnsi="Times New Roman" w:cs="Times New Roman"/>
          <w:color w:val="000000" w:themeColor="text1"/>
        </w:rPr>
        <w:t>Communication or feedback exchanged between the tracks.</w:t>
      </w:r>
    </w:p>
    <w:p w14:paraId="520772A4" w14:textId="77777777" w:rsidR="00570A1A" w:rsidRPr="00356445" w:rsidRDefault="00B314FA">
      <w:pPr>
        <w:pStyle w:val="Compact"/>
        <w:numPr>
          <w:ilvl w:val="0"/>
          <w:numId w:val="12"/>
        </w:numPr>
        <w:rPr>
          <w:rFonts w:ascii="Times New Roman" w:hAnsi="Times New Roman" w:cs="Times New Roman"/>
          <w:color w:val="000000" w:themeColor="text1"/>
        </w:rPr>
      </w:pPr>
      <w:r w:rsidRPr="00356445">
        <w:rPr>
          <w:rFonts w:ascii="Times New Roman" w:hAnsi="Times New Roman" w:cs="Times New Roman"/>
          <w:color w:val="000000" w:themeColor="text1"/>
        </w:rPr>
        <w:t>The documented decision to retain the Data Analytics KPI.</w:t>
      </w:r>
    </w:p>
    <w:p w14:paraId="02C5E535" w14:textId="77777777" w:rsidR="00570A1A" w:rsidRPr="00356445" w:rsidRDefault="00B314FA">
      <w:pPr>
        <w:pStyle w:val="Compact"/>
        <w:numPr>
          <w:ilvl w:val="0"/>
          <w:numId w:val="12"/>
        </w:numPr>
        <w:rPr>
          <w:rFonts w:ascii="Times New Roman" w:hAnsi="Times New Roman" w:cs="Times New Roman"/>
          <w:color w:val="000000" w:themeColor="text1"/>
        </w:rPr>
      </w:pPr>
      <w:r w:rsidRPr="00356445">
        <w:rPr>
          <w:rFonts w:ascii="Times New Roman" w:hAnsi="Times New Roman" w:cs="Times New Roman"/>
          <w:color w:val="000000" w:themeColor="text1"/>
        </w:rPr>
        <w:t>Use of the Data Science output as a validation and comparison point.</w:t>
      </w:r>
    </w:p>
    <w:p w14:paraId="7CF6DDBE"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key evidence chain is:</w:t>
      </w:r>
    </w:p>
    <w:p w14:paraId="25A5CAC6"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b/>
          <w:bCs/>
          <w:color w:val="000000" w:themeColor="text1"/>
        </w:rPr>
        <w:t>Data Analytics Finding → Data Science Output → Methodological Comparison → Validation → Technical Decision → Integrated Solution</w:t>
      </w:r>
    </w:p>
    <w:p w14:paraId="6460C500"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demonstrates that the collaboration involved an actual analytical dependency and decision rather than simply exchanging information.</w:t>
      </w:r>
    </w:p>
    <w:p w14:paraId="16620A49" w14:textId="77777777" w:rsidR="00570A1A" w:rsidRPr="00356445" w:rsidRDefault="00B314FA">
      <w:pPr>
        <w:pStyle w:val="Heading1"/>
        <w:rPr>
          <w:rFonts w:ascii="Times New Roman" w:hAnsi="Times New Roman" w:cs="Times New Roman"/>
          <w:color w:val="000000" w:themeColor="text1"/>
        </w:rPr>
      </w:pPr>
      <w:bookmarkStart w:id="34" w:name="validated-findings"/>
      <w:bookmarkEnd w:id="33"/>
      <w:r w:rsidRPr="00356445">
        <w:rPr>
          <w:rFonts w:ascii="Times New Roman" w:hAnsi="Times New Roman" w:cs="Times New Roman"/>
          <w:color w:val="000000" w:themeColor="text1"/>
        </w:rPr>
        <w:t>19. Validated Findings</w:t>
      </w:r>
    </w:p>
    <w:p w14:paraId="4A314C70"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Following the Week 6 analysis and cross-track validation, the following findings were considered the strongest evidence for the current solution:</w:t>
      </w:r>
    </w:p>
    <w:p w14:paraId="604E4E2F" w14:textId="77777777" w:rsidR="00570A1A" w:rsidRPr="00356445" w:rsidRDefault="00B314FA">
      <w:pPr>
        <w:pStyle w:val="Heading3"/>
        <w:rPr>
          <w:rFonts w:ascii="Times New Roman" w:hAnsi="Times New Roman" w:cs="Times New Roman"/>
          <w:color w:val="000000" w:themeColor="text1"/>
        </w:rPr>
      </w:pPr>
      <w:bookmarkStart w:id="35" w:name="finding-1-booking-lead-time"/>
      <w:r w:rsidRPr="00356445">
        <w:rPr>
          <w:rFonts w:ascii="Times New Roman" w:hAnsi="Times New Roman" w:cs="Times New Roman"/>
          <w:color w:val="000000" w:themeColor="text1"/>
        </w:rPr>
        <w:t>Finding 1 – Booking Lead Time</w:t>
      </w:r>
    </w:p>
    <w:p w14:paraId="371A57B0"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 xml:space="preserve">No-show rates increased substantially as booking lead time increased, from </w:t>
      </w:r>
      <w:r w:rsidRPr="00356445">
        <w:rPr>
          <w:rFonts w:ascii="Times New Roman" w:hAnsi="Times New Roman" w:cs="Times New Roman"/>
          <w:b/>
          <w:bCs/>
          <w:color w:val="000000" w:themeColor="text1"/>
        </w:rPr>
        <w:t>27.81% for 0–7 days to 67.69% for 46–60 days</w:t>
      </w:r>
      <w:r w:rsidRPr="00356445">
        <w:rPr>
          <w:rFonts w:ascii="Times New Roman" w:hAnsi="Times New Roman" w:cs="Times New Roman"/>
          <w:color w:val="000000" w:themeColor="text1"/>
        </w:rPr>
        <w:t>.</w:t>
      </w:r>
    </w:p>
    <w:p w14:paraId="08A2C306" w14:textId="77777777" w:rsidR="00570A1A" w:rsidRPr="00356445" w:rsidRDefault="00B314FA">
      <w:pPr>
        <w:pStyle w:val="Heading3"/>
        <w:rPr>
          <w:rFonts w:ascii="Times New Roman" w:hAnsi="Times New Roman" w:cs="Times New Roman"/>
          <w:color w:val="000000" w:themeColor="text1"/>
        </w:rPr>
      </w:pPr>
      <w:bookmarkStart w:id="36" w:name="finding-2-previous-no-show-history"/>
      <w:bookmarkEnd w:id="35"/>
      <w:r w:rsidRPr="00356445">
        <w:rPr>
          <w:rFonts w:ascii="Times New Roman" w:hAnsi="Times New Roman" w:cs="Times New Roman"/>
          <w:color w:val="000000" w:themeColor="text1"/>
        </w:rPr>
        <w:t>Finding 2 – Previous No-Show History</w:t>
      </w:r>
    </w:p>
    <w:p w14:paraId="6720669D"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Patients with previous missed appointments showed higher no-show rates than patients without previous no-shows.</w:t>
      </w:r>
    </w:p>
    <w:p w14:paraId="610D8008" w14:textId="77777777" w:rsidR="00570A1A" w:rsidRPr="00356445" w:rsidRDefault="00B314FA">
      <w:pPr>
        <w:pStyle w:val="Heading3"/>
        <w:rPr>
          <w:rFonts w:ascii="Times New Roman" w:hAnsi="Times New Roman" w:cs="Times New Roman"/>
          <w:color w:val="000000" w:themeColor="text1"/>
        </w:rPr>
      </w:pPr>
      <w:bookmarkStart w:id="37" w:name="finding-3-combined-risk-pattern"/>
      <w:bookmarkEnd w:id="36"/>
      <w:r w:rsidRPr="00356445">
        <w:rPr>
          <w:rFonts w:ascii="Times New Roman" w:hAnsi="Times New Roman" w:cs="Times New Roman"/>
          <w:color w:val="000000" w:themeColor="text1"/>
        </w:rPr>
        <w:t>Finding 3 – Combined Risk Pattern</w:t>
      </w:r>
    </w:p>
    <w:p w14:paraId="5DF59B6E"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combination of </w:t>
      </w:r>
      <w:r w:rsidRPr="00356445">
        <w:rPr>
          <w:rFonts w:ascii="Times New Roman" w:hAnsi="Times New Roman" w:cs="Times New Roman"/>
          <w:b/>
          <w:bCs/>
          <w:color w:val="000000" w:themeColor="text1"/>
        </w:rPr>
        <w:t>46–60 days booking lead time and 2+ previous no-shows produced an 82.11% no-show rate</w:t>
      </w:r>
      <w:r w:rsidRPr="00356445">
        <w:rPr>
          <w:rFonts w:ascii="Times New Roman" w:hAnsi="Times New Roman" w:cs="Times New Roman"/>
          <w:color w:val="000000" w:themeColor="text1"/>
        </w:rPr>
        <w:t>, making this one of the strongest patterns identified during Week 6.</w:t>
      </w:r>
    </w:p>
    <w:p w14:paraId="3258B3B6" w14:textId="77777777" w:rsidR="00570A1A" w:rsidRPr="00356445" w:rsidRDefault="00B314FA">
      <w:pPr>
        <w:pStyle w:val="Heading3"/>
        <w:rPr>
          <w:rFonts w:ascii="Times New Roman" w:hAnsi="Times New Roman" w:cs="Times New Roman"/>
          <w:color w:val="000000" w:themeColor="text1"/>
        </w:rPr>
      </w:pPr>
      <w:bookmarkStart w:id="38" w:name="Xc11d897bd8a5094e1e4e760caa25280455e4e1f"/>
      <w:bookmarkEnd w:id="37"/>
      <w:r w:rsidRPr="00356445">
        <w:rPr>
          <w:rFonts w:ascii="Times New Roman" w:hAnsi="Times New Roman" w:cs="Times New Roman"/>
          <w:color w:val="000000" w:themeColor="text1"/>
        </w:rPr>
        <w:t>Finding 4 – Reminder and Previous No-Show History</w:t>
      </w:r>
    </w:p>
    <w:p w14:paraId="0FF32469"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 xml:space="preserve">Patients with 2+ previous no-shows recorded </w:t>
      </w:r>
      <w:r w:rsidRPr="00356445">
        <w:rPr>
          <w:rFonts w:ascii="Times New Roman" w:hAnsi="Times New Roman" w:cs="Times New Roman"/>
          <w:b/>
          <w:bCs/>
          <w:color w:val="000000" w:themeColor="text1"/>
        </w:rPr>
        <w:t>68.24% without a reminder compared with 58.22% with a reminder</w:t>
      </w:r>
      <w:r w:rsidRPr="00356445">
        <w:rPr>
          <w:rFonts w:ascii="Times New Roman" w:hAnsi="Times New Roman" w:cs="Times New Roman"/>
          <w:color w:val="000000" w:themeColor="text1"/>
        </w:rPr>
        <w:t>.</w:t>
      </w:r>
    </w:p>
    <w:p w14:paraId="7DC89B12" w14:textId="77777777" w:rsidR="00570A1A" w:rsidRPr="00356445" w:rsidRDefault="00B314FA">
      <w:pPr>
        <w:pStyle w:val="Heading3"/>
        <w:rPr>
          <w:rFonts w:ascii="Times New Roman" w:hAnsi="Times New Roman" w:cs="Times New Roman"/>
          <w:color w:val="000000" w:themeColor="text1"/>
        </w:rPr>
      </w:pPr>
      <w:bookmarkStart w:id="39" w:name="finding-5-reminder-and-long-lead-time"/>
      <w:bookmarkEnd w:id="38"/>
      <w:r w:rsidRPr="00356445">
        <w:rPr>
          <w:rFonts w:ascii="Times New Roman" w:hAnsi="Times New Roman" w:cs="Times New Roman"/>
          <w:color w:val="000000" w:themeColor="text1"/>
        </w:rPr>
        <w:lastRenderedPageBreak/>
        <w:t>Finding 5 – Reminder and Long Lead Time</w:t>
      </w:r>
    </w:p>
    <w:p w14:paraId="13F1F3F5"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 xml:space="preserve">For appointments booked 46–60 days in advance, the no-show rate was </w:t>
      </w:r>
      <w:r w:rsidRPr="00356445">
        <w:rPr>
          <w:rFonts w:ascii="Times New Roman" w:hAnsi="Times New Roman" w:cs="Times New Roman"/>
          <w:b/>
          <w:bCs/>
          <w:color w:val="000000" w:themeColor="text1"/>
        </w:rPr>
        <w:t>73.51% without a reminder compared with 65.66% when a reminder was sent</w:t>
      </w:r>
      <w:r w:rsidRPr="00356445">
        <w:rPr>
          <w:rFonts w:ascii="Times New Roman" w:hAnsi="Times New Roman" w:cs="Times New Roman"/>
          <w:color w:val="000000" w:themeColor="text1"/>
        </w:rPr>
        <w:t>.</w:t>
      </w:r>
    </w:p>
    <w:p w14:paraId="4428BF91"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These findings provide potential areas for targeted reminder and follow-up strategies, subject to further testing.</w:t>
      </w:r>
    </w:p>
    <w:p w14:paraId="324A78E5" w14:textId="77777777" w:rsidR="00570A1A" w:rsidRPr="00356445" w:rsidRDefault="00B314FA">
      <w:pPr>
        <w:pStyle w:val="Heading1"/>
        <w:rPr>
          <w:rFonts w:ascii="Times New Roman" w:hAnsi="Times New Roman" w:cs="Times New Roman"/>
          <w:color w:val="000000" w:themeColor="text1"/>
        </w:rPr>
      </w:pPr>
      <w:bookmarkStart w:id="40" w:name="solution-readiness"/>
      <w:bookmarkEnd w:id="34"/>
      <w:bookmarkEnd w:id="39"/>
      <w:r w:rsidRPr="00356445">
        <w:rPr>
          <w:rFonts w:ascii="Times New Roman" w:hAnsi="Times New Roman" w:cs="Times New Roman"/>
          <w:color w:val="000000" w:themeColor="text1"/>
        </w:rPr>
        <w:t>20. Solution Readiness</w:t>
      </w:r>
    </w:p>
    <w:p w14:paraId="6E0CB11F"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Week 6 solution is considered ready to proceed to the next testing and validation stage.</w:t>
      </w:r>
    </w:p>
    <w:p w14:paraId="77F3DA7C"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This assessment is supported by:</w:t>
      </w:r>
    </w:p>
    <w:p w14:paraId="6111BA5C"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Completion of the extended Week 6 analysis.</w:t>
      </w:r>
    </w:p>
    <w:p w14:paraId="00274A3F"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Identification of key no-show patterns.</w:t>
      </w:r>
    </w:p>
    <w:p w14:paraId="7E57F8CC"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Improvement of the existing project component.</w:t>
      </w:r>
    </w:p>
    <w:p w14:paraId="0FF0A6DF"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Cross-track collaboration with Data Science.</w:t>
      </w:r>
    </w:p>
    <w:p w14:paraId="1E3E6526"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Comparison and validation of different no-show-rate definitions.</w:t>
      </w:r>
    </w:p>
    <w:p w14:paraId="5ABB15C1"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Resolution of the KPI-definition issue.</w:t>
      </w:r>
    </w:p>
    <w:p w14:paraId="563E7ABB"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Documentation of analytical assumptions.</w:t>
      </w:r>
    </w:p>
    <w:p w14:paraId="35F74E2C"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Identification of limitations.</w:t>
      </w:r>
    </w:p>
    <w:p w14:paraId="6B7EB996" w14:textId="77777777" w:rsidR="00570A1A" w:rsidRPr="00356445" w:rsidRDefault="00B314FA">
      <w:pPr>
        <w:pStyle w:val="Compact"/>
        <w:numPr>
          <w:ilvl w:val="0"/>
          <w:numId w:val="13"/>
        </w:numPr>
        <w:rPr>
          <w:rFonts w:ascii="Times New Roman" w:hAnsi="Times New Roman" w:cs="Times New Roman"/>
          <w:color w:val="000000" w:themeColor="text1"/>
        </w:rPr>
      </w:pPr>
      <w:r w:rsidRPr="00356445">
        <w:rPr>
          <w:rFonts w:ascii="Times New Roman" w:hAnsi="Times New Roman" w:cs="Times New Roman"/>
          <w:color w:val="000000" w:themeColor="text1"/>
        </w:rPr>
        <w:t>Integration of validated findings into the interpretation of the solution.</w:t>
      </w:r>
    </w:p>
    <w:p w14:paraId="77A293E5"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solution should not yet be treated as a fully validated operational intervention. Further testing is required to determine whether the identified patterns remain consistent on additional or representative appointment data.</w:t>
      </w:r>
    </w:p>
    <w:p w14:paraId="20097446" w14:textId="77777777" w:rsidR="00570A1A" w:rsidRPr="00356445" w:rsidRDefault="00B314FA">
      <w:pPr>
        <w:pStyle w:val="Heading1"/>
        <w:rPr>
          <w:rFonts w:ascii="Times New Roman" w:hAnsi="Times New Roman" w:cs="Times New Roman"/>
          <w:color w:val="000000" w:themeColor="text1"/>
        </w:rPr>
      </w:pPr>
      <w:bookmarkStart w:id="41" w:name="next-steps"/>
      <w:bookmarkEnd w:id="40"/>
      <w:r w:rsidRPr="00356445">
        <w:rPr>
          <w:rFonts w:ascii="Times New Roman" w:hAnsi="Times New Roman" w:cs="Times New Roman"/>
          <w:color w:val="000000" w:themeColor="text1"/>
        </w:rPr>
        <w:t>21. Next Steps</w:t>
      </w:r>
    </w:p>
    <w:p w14:paraId="25BE5EB9"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The recommended next stage is to:</w:t>
      </w:r>
    </w:p>
    <w:p w14:paraId="1344A904" w14:textId="77777777" w:rsidR="00570A1A" w:rsidRPr="00356445" w:rsidRDefault="00B314FA">
      <w:pPr>
        <w:pStyle w:val="Compact"/>
        <w:numPr>
          <w:ilvl w:val="0"/>
          <w:numId w:val="14"/>
        </w:numPr>
        <w:rPr>
          <w:rFonts w:ascii="Times New Roman" w:hAnsi="Times New Roman" w:cs="Times New Roman"/>
          <w:color w:val="000000" w:themeColor="text1"/>
        </w:rPr>
      </w:pPr>
      <w:r w:rsidRPr="00356445">
        <w:rPr>
          <w:rFonts w:ascii="Times New Roman" w:hAnsi="Times New Roman" w:cs="Times New Roman"/>
          <w:color w:val="000000" w:themeColor="text1"/>
        </w:rPr>
        <w:t>Test the agreed no-show KPI using additional appointment data.</w:t>
      </w:r>
    </w:p>
    <w:p w14:paraId="4C14AEB5" w14:textId="77777777" w:rsidR="00570A1A" w:rsidRPr="00356445" w:rsidRDefault="00B314FA">
      <w:pPr>
        <w:pStyle w:val="Compact"/>
        <w:numPr>
          <w:ilvl w:val="0"/>
          <w:numId w:val="14"/>
        </w:numPr>
        <w:rPr>
          <w:rFonts w:ascii="Times New Roman" w:hAnsi="Times New Roman" w:cs="Times New Roman"/>
          <w:color w:val="000000" w:themeColor="text1"/>
        </w:rPr>
      </w:pPr>
      <w:r w:rsidRPr="00356445">
        <w:rPr>
          <w:rFonts w:ascii="Times New Roman" w:hAnsi="Times New Roman" w:cs="Times New Roman"/>
          <w:color w:val="000000" w:themeColor="text1"/>
        </w:rPr>
        <w:t>Confirm that the calculation remains consistent across reporting outputs.</w:t>
      </w:r>
    </w:p>
    <w:p w14:paraId="507F2EB1" w14:textId="77777777" w:rsidR="00570A1A" w:rsidRPr="00356445" w:rsidRDefault="00B314FA">
      <w:pPr>
        <w:pStyle w:val="Compact"/>
        <w:numPr>
          <w:ilvl w:val="0"/>
          <w:numId w:val="14"/>
        </w:numPr>
        <w:rPr>
          <w:rFonts w:ascii="Times New Roman" w:hAnsi="Times New Roman" w:cs="Times New Roman"/>
          <w:color w:val="000000" w:themeColor="text1"/>
        </w:rPr>
      </w:pPr>
      <w:r w:rsidRPr="00356445">
        <w:rPr>
          <w:rFonts w:ascii="Times New Roman" w:hAnsi="Times New Roman" w:cs="Times New Roman"/>
          <w:color w:val="000000" w:themeColor="text1"/>
        </w:rPr>
        <w:t>Further test the high-risk combinations identified during Week 6.</w:t>
      </w:r>
    </w:p>
    <w:p w14:paraId="3A2F2D71" w14:textId="77777777" w:rsidR="00570A1A" w:rsidRPr="00356445" w:rsidRDefault="00B314FA">
      <w:pPr>
        <w:pStyle w:val="Compact"/>
        <w:numPr>
          <w:ilvl w:val="0"/>
          <w:numId w:val="14"/>
        </w:numPr>
        <w:rPr>
          <w:rFonts w:ascii="Times New Roman" w:hAnsi="Times New Roman" w:cs="Times New Roman"/>
          <w:color w:val="000000" w:themeColor="text1"/>
        </w:rPr>
      </w:pPr>
      <w:r w:rsidRPr="00356445">
        <w:rPr>
          <w:rFonts w:ascii="Times New Roman" w:hAnsi="Times New Roman" w:cs="Times New Roman"/>
          <w:color w:val="000000" w:themeColor="text1"/>
        </w:rPr>
        <w:t>Evaluate whether targeted reminders or follow-up strategies could improve attendance.</w:t>
      </w:r>
    </w:p>
    <w:p w14:paraId="3EEF2C88" w14:textId="77777777" w:rsidR="00570A1A" w:rsidRPr="00356445" w:rsidRDefault="00B314FA">
      <w:pPr>
        <w:pStyle w:val="Compact"/>
        <w:numPr>
          <w:ilvl w:val="0"/>
          <w:numId w:val="14"/>
        </w:numPr>
        <w:rPr>
          <w:rFonts w:ascii="Times New Roman" w:hAnsi="Times New Roman" w:cs="Times New Roman"/>
          <w:color w:val="000000" w:themeColor="text1"/>
        </w:rPr>
      </w:pPr>
      <w:r w:rsidRPr="00356445">
        <w:rPr>
          <w:rFonts w:ascii="Times New Roman" w:hAnsi="Times New Roman" w:cs="Times New Roman"/>
          <w:color w:val="000000" w:themeColor="text1"/>
        </w:rPr>
        <w:t>Monitor whether the observed patterns remain stable over time.</w:t>
      </w:r>
    </w:p>
    <w:p w14:paraId="788C2722" w14:textId="77777777" w:rsidR="00570A1A" w:rsidRPr="00356445" w:rsidRDefault="00B314FA">
      <w:pPr>
        <w:pStyle w:val="Compact"/>
        <w:numPr>
          <w:ilvl w:val="0"/>
          <w:numId w:val="14"/>
        </w:numPr>
        <w:rPr>
          <w:rFonts w:ascii="Times New Roman" w:hAnsi="Times New Roman" w:cs="Times New Roman"/>
          <w:color w:val="000000" w:themeColor="text1"/>
        </w:rPr>
      </w:pPr>
      <w:r w:rsidRPr="00356445">
        <w:rPr>
          <w:rFonts w:ascii="Times New Roman" w:hAnsi="Times New Roman" w:cs="Times New Roman"/>
          <w:color w:val="000000" w:themeColor="text1"/>
        </w:rPr>
        <w:t>Continue collaboration with the Data Science track where predictive or advanced analytical outputs can strengthen the solution.</w:t>
      </w:r>
    </w:p>
    <w:p w14:paraId="569381EC" w14:textId="7EDC99BA" w:rsidR="00570A1A" w:rsidRPr="00EC3159" w:rsidRDefault="00B314FA" w:rsidP="00EC3159">
      <w:pPr>
        <w:pStyle w:val="Compact"/>
        <w:numPr>
          <w:ilvl w:val="0"/>
          <w:numId w:val="14"/>
        </w:numPr>
        <w:rPr>
          <w:rFonts w:ascii="Times New Roman" w:hAnsi="Times New Roman" w:cs="Times New Roman"/>
          <w:color w:val="000000" w:themeColor="text1"/>
        </w:rPr>
      </w:pPr>
      <w:r w:rsidRPr="00356445">
        <w:rPr>
          <w:rFonts w:ascii="Times New Roman" w:hAnsi="Times New Roman" w:cs="Times New Roman"/>
          <w:color w:val="000000" w:themeColor="text1"/>
        </w:rPr>
        <w:t>Refine the Power BI dashboard based on validated testing results.</w:t>
      </w:r>
    </w:p>
    <w:p w14:paraId="73EC0C1B" w14:textId="77777777" w:rsidR="00570A1A" w:rsidRPr="00356445" w:rsidRDefault="00B314FA">
      <w:pPr>
        <w:pStyle w:val="Heading1"/>
        <w:rPr>
          <w:rFonts w:ascii="Times New Roman" w:hAnsi="Times New Roman" w:cs="Times New Roman"/>
          <w:color w:val="000000" w:themeColor="text1"/>
        </w:rPr>
      </w:pPr>
      <w:bookmarkStart w:id="42" w:name="conclusion"/>
      <w:bookmarkEnd w:id="41"/>
      <w:r w:rsidRPr="00356445">
        <w:rPr>
          <w:rFonts w:ascii="Times New Roman" w:hAnsi="Times New Roman" w:cs="Times New Roman"/>
          <w:color w:val="000000" w:themeColor="text1"/>
        </w:rPr>
        <w:lastRenderedPageBreak/>
        <w:t>22. Conclusion</w:t>
      </w:r>
    </w:p>
    <w:p w14:paraId="41994BB0" w14:textId="77777777" w:rsidR="00570A1A" w:rsidRPr="00356445" w:rsidRDefault="00B314FA">
      <w:pPr>
        <w:pStyle w:val="FirstParagraph"/>
        <w:rPr>
          <w:rFonts w:ascii="Times New Roman" w:hAnsi="Times New Roman" w:cs="Times New Roman"/>
          <w:color w:val="000000" w:themeColor="text1"/>
        </w:rPr>
      </w:pPr>
      <w:r w:rsidRPr="00356445">
        <w:rPr>
          <w:rFonts w:ascii="Times New Roman" w:hAnsi="Times New Roman" w:cs="Times New Roman"/>
          <w:color w:val="000000" w:themeColor="text1"/>
        </w:rPr>
        <w:t>Week 6 extended the HealthConnect Clinic Data Analytics solution from descriptive reporting toward deeper analytical investigation and cross-track validation.</w:t>
      </w:r>
    </w:p>
    <w:p w14:paraId="30F97DB9"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The analysis identified several meaningful patterns in patient no-show behaviour, particularly the relationship between booking lead time, previous no-show history and reminder status. The strongest observed pattern was an </w:t>
      </w:r>
      <w:r w:rsidRPr="00356445">
        <w:rPr>
          <w:rFonts w:ascii="Times New Roman" w:hAnsi="Times New Roman" w:cs="Times New Roman"/>
          <w:b/>
          <w:bCs/>
          <w:color w:val="000000" w:themeColor="text1"/>
        </w:rPr>
        <w:t>82.11% no-show rate among appointments with 46–60 days booking lead time and patients with 2+ previous no-shows</w:t>
      </w:r>
      <w:r w:rsidRPr="00356445">
        <w:rPr>
          <w:rFonts w:ascii="Times New Roman" w:hAnsi="Times New Roman" w:cs="Times New Roman"/>
          <w:color w:val="000000" w:themeColor="text1"/>
        </w:rPr>
        <w:t>.</w:t>
      </w:r>
    </w:p>
    <w:p w14:paraId="6E58F36D"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mandatory cross-track collaboration with Data Science also identified an important methodological difference in the calculation of the no-show rate. Rather than treating the difference as a data error, both definitions were reviewed and validated against the appointment outcome structure.</w:t>
      </w:r>
    </w:p>
    <w:p w14:paraId="657F98E7"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The Data Analytics definition was retained to maintain consistency with the existing Week 5 KPI, while the Data Science output was used as a complementary source for comparison and validation.</w:t>
      </w:r>
    </w:p>
    <w:p w14:paraId="6B19BCF1" w14:textId="77777777" w:rsidR="00570A1A" w:rsidRPr="00356445" w:rsidRDefault="00B314FA">
      <w:pPr>
        <w:pStyle w:val="BodyText"/>
        <w:rPr>
          <w:rFonts w:ascii="Times New Roman" w:hAnsi="Times New Roman" w:cs="Times New Roman"/>
          <w:color w:val="000000" w:themeColor="text1"/>
        </w:rPr>
      </w:pPr>
      <w:r w:rsidRPr="00356445">
        <w:rPr>
          <w:rFonts w:ascii="Times New Roman" w:hAnsi="Times New Roman" w:cs="Times New Roman"/>
          <w:color w:val="000000" w:themeColor="text1"/>
        </w:rPr>
        <w:t xml:space="preserve">Overall, Week 6 demonstrates a complete analytical evidence chain: </w:t>
      </w:r>
      <w:r w:rsidRPr="00356445">
        <w:rPr>
          <w:rFonts w:ascii="Times New Roman" w:hAnsi="Times New Roman" w:cs="Times New Roman"/>
          <w:b/>
          <w:bCs/>
          <w:color w:val="000000" w:themeColor="text1"/>
        </w:rPr>
        <w:t>deeper analysis, identification of findings, cross-track collaboration, methodological validation, technical decision-making and preparation for the next testing stage</w:t>
      </w:r>
      <w:r w:rsidRPr="00356445">
        <w:rPr>
          <w:rFonts w:ascii="Times New Roman" w:hAnsi="Times New Roman" w:cs="Times New Roman"/>
          <w:color w:val="000000" w:themeColor="text1"/>
        </w:rPr>
        <w:t>.</w:t>
      </w:r>
      <w:bookmarkEnd w:id="42"/>
    </w:p>
    <w:sectPr w:rsidR="00570A1A" w:rsidRPr="003564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2EA4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04B5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0CA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953186">
    <w:abstractNumId w:val="0"/>
  </w:num>
  <w:num w:numId="2" w16cid:durableId="1102648395">
    <w:abstractNumId w:val="1"/>
  </w:num>
  <w:num w:numId="3" w16cid:durableId="1701011358">
    <w:abstractNumId w:val="1"/>
  </w:num>
  <w:num w:numId="4" w16cid:durableId="164129889">
    <w:abstractNumId w:val="1"/>
  </w:num>
  <w:num w:numId="5" w16cid:durableId="2061249453">
    <w:abstractNumId w:val="1"/>
  </w:num>
  <w:num w:numId="6" w16cid:durableId="390621028">
    <w:abstractNumId w:val="1"/>
  </w:num>
  <w:num w:numId="7" w16cid:durableId="813793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1883506">
    <w:abstractNumId w:val="1"/>
  </w:num>
  <w:num w:numId="9" w16cid:durableId="928998470">
    <w:abstractNumId w:val="1"/>
  </w:num>
  <w:num w:numId="10" w16cid:durableId="1582762975">
    <w:abstractNumId w:val="1"/>
  </w:num>
  <w:num w:numId="11" w16cid:durableId="839151892">
    <w:abstractNumId w:val="1"/>
  </w:num>
  <w:num w:numId="12" w16cid:durableId="780806533">
    <w:abstractNumId w:val="1"/>
  </w:num>
  <w:num w:numId="13" w16cid:durableId="952252603">
    <w:abstractNumId w:val="1"/>
  </w:num>
  <w:num w:numId="14" w16cid:durableId="900140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A1A"/>
    <w:rsid w:val="00025E2D"/>
    <w:rsid w:val="001E7CB7"/>
    <w:rsid w:val="00356445"/>
    <w:rsid w:val="003F5113"/>
    <w:rsid w:val="00570A1A"/>
    <w:rsid w:val="007639C0"/>
    <w:rsid w:val="00B314FA"/>
    <w:rsid w:val="00C17487"/>
    <w:rsid w:val="00C61F95"/>
    <w:rsid w:val="00D26A26"/>
    <w:rsid w:val="00E56F70"/>
    <w:rsid w:val="00EC3159"/>
    <w:rsid w:val="00F70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59FF"/>
  <w15:docId w15:val="{A4723BEB-BDAE-45C8-9969-4D5854EE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2808</Words>
  <Characters>16006</Characters>
  <Application>Microsoft Office Word</Application>
  <DocSecurity>0</DocSecurity>
  <Lines>133</Lines>
  <Paragraphs>37</Paragraphs>
  <ScaleCrop>false</ScaleCrop>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Esther Joseph</dc:creator>
  <cp:keywords/>
  <cp:lastModifiedBy>Esther Joseph</cp:lastModifiedBy>
  <cp:revision>8</cp:revision>
  <dcterms:created xsi:type="dcterms:W3CDTF">2026-09-11T20:13:00Z</dcterms:created>
  <dcterms:modified xsi:type="dcterms:W3CDTF">2026-09-12T16:46:00Z</dcterms:modified>
</cp:coreProperties>
</file>