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WEEK 3 </w:t>
      </w:r>
    </w:p>
    <w:p w:rsidR="00000000" w:rsidDel="00000000" w:rsidP="00000000" w:rsidRDefault="00000000" w:rsidRPr="00000000" w14:paraId="00000002">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PROBLEM INVESTIGATION, INSIGHTS &amp; RECOMMENDATIONS</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Superstore Business Intelligence Project</w:t>
      </w:r>
    </w:p>
    <w:p w:rsidR="00000000" w:rsidDel="00000000" w:rsidP="00000000" w:rsidRDefault="00000000" w:rsidRPr="00000000" w14:paraId="00000004">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Executive Overview</w:t>
      </w:r>
    </w:p>
    <w:p w:rsidR="00000000" w:rsidDel="00000000" w:rsidP="00000000" w:rsidRDefault="00000000" w:rsidRPr="00000000" w14:paraId="00000005">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report documents the advanced business analysis completed in Week 3 using the same Superstore dataset and business context established in Week 2. The purpose of Week 3 was not to reproduce the Week 2 dashboard, but to extend it by moving from descriptive reporting into deeper diagnosis of profitability, growth, customer behaviour, discount exposure, product performance and regional performance.</w:t>
      </w:r>
    </w:p>
    <w:p w:rsidR="00000000" w:rsidDel="00000000" w:rsidP="00000000" w:rsidRDefault="00000000" w:rsidRPr="00000000" w14:paraId="00000006">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Week 2 established the high-level picture: approximately $2.3M in sales, $286.4K in profit, a 12.47% overall profit margin and approximately 5K orders. It also identified important contributors such as Technology, the West region and the Consumer segment. Week 3 then investigated the quality of those results by examining growth, profit margins, average profitability per order, product and sub-category performance, customer contribution and discount patterns.</w:t>
      </w:r>
    </w:p>
    <w:p w:rsidR="00000000" w:rsidDel="00000000" w:rsidP="00000000" w:rsidRDefault="00000000" w:rsidRPr="00000000" w14:paraId="00000007">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central message for stakeholders is that overall growth is positive, but performance is not uniform. Some parts of the analysis generate strong financial value, while others generate substantial sales with weak or negative profitability. The analysis therefore supports a shift from a simple sales-growth perspective to a broader profitable-growth perspective.</w:t>
      </w:r>
    </w:p>
    <w:p w:rsidR="00000000" w:rsidDel="00000000" w:rsidP="00000000" w:rsidRDefault="00000000" w:rsidRPr="00000000" w14:paraId="00000008">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report is structured around the assignment requirements: at least three investigated business problems or opportunities, at least five meaningful business insights, and evidence-based recommendations. Potential causes are distinguished from confirmed findings so that management decisions are not based on unsupported assumptions.</w:t>
      </w:r>
    </w:p>
    <w:p w:rsidR="00000000" w:rsidDel="00000000" w:rsidP="00000000" w:rsidRDefault="00000000" w:rsidRPr="00000000" w14:paraId="00000009">
      <w:pPr>
        <w:spacing w:after="12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INVESTIGATED BUSINESS PROBLEMS AND OPPORTUNITIES</w:t>
      </w:r>
    </w:p>
    <w:p w:rsidR="00000000" w:rsidDel="00000000" w:rsidP="00000000" w:rsidRDefault="00000000" w:rsidRPr="00000000" w14:paraId="0000000A">
      <w:pPr>
        <w:spacing w:after="12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Business Problems: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Furniture Generates Sales but Weak Profitability</w:t>
      </w:r>
    </w:p>
    <w:p w:rsidR="00000000" w:rsidDel="00000000" w:rsidP="00000000" w:rsidRDefault="00000000" w:rsidRPr="00000000" w14:paraId="0000000C">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Week 2 established Furniture as a meaningful sales category. Week 3 reveals that its financial performance is considerably weaker than its sales presence suggests. Furniture records only a 2.49% profit margin, compared with 17.40% for Technology and 17.04% for Office Supplies.</w:t>
      </w:r>
    </w:p>
    <w:p w:rsidR="00000000" w:rsidDel="00000000" w:rsidP="00000000" w:rsidRDefault="00000000" w:rsidRPr="00000000" w14:paraId="0000000D">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sub-category analysis makes the problem more specific. Tables generate approximately $206.97K in sales but approximately -$17.73K in profit. This is a major warning signal because the organisation is generating substantial revenue from a line that is destroying value at the profit level.</w:t>
      </w:r>
    </w:p>
    <w:p w:rsidR="00000000" w:rsidDel="00000000" w:rsidP="00000000" w:rsidRDefault="00000000" w:rsidRPr="00000000" w14:paraId="0000000E">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stakeholders, this distinction matters because increasing sales is not automatically beneficial. If a product or category is sold at a margin that does not cover its associated costs, additional sales can increase the scale of the problem. Therefore, the management question should change from 'How can Furniture sales be increased?' to 'What is preventing Furniture sales from producing an acceptable return?'</w:t>
      </w:r>
    </w:p>
    <w:p w:rsidR="00000000" w:rsidDel="00000000" w:rsidP="00000000" w:rsidRDefault="00000000" w:rsidRPr="00000000" w14:paraId="0000000F">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Possible drivers include pricing, discounting, procurement costs, fulfilment or shipping costs, product mix and customer/order characteristics. These are investigation areas rather than confirmed causes. The dashboard evidence establishes the profitability problem; additional analysis is required to isolate the cause.</w:t>
      </w:r>
    </w:p>
    <w:p w:rsidR="00000000" w:rsidDel="00000000" w:rsidP="00000000" w:rsidRDefault="00000000" w:rsidRPr="00000000" w14:paraId="00000010">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Recommendation</w:t>
      </w:r>
      <w:r w:rsidDel="00000000" w:rsidR="00000000" w:rsidRPr="00000000">
        <w:rPr>
          <w:rFonts w:ascii="Times New Roman" w:cs="Times New Roman" w:eastAsia="Times New Roman" w:hAnsi="Times New Roman"/>
          <w:color w:val="000000"/>
          <w:sz w:val="24"/>
          <w:szCs w:val="24"/>
          <w:rtl w:val="0"/>
        </w:rPr>
        <w:t xml:space="preserve">: Conduct a detailed Furniture profitability review at sub-category and product level. Tables should receive priority attention. Management should compare selling prices, discount rates, costs and margins and identify whether specific products or transactions are responsible for the category's weak return. Corrective action could include repricing, reducing excessive discounts, renegotiating costs, changing the product mix or discontinuing consistently loss-making lines.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Loss-Making Products Reduce the Quality of Overall Profit</w:t>
      </w:r>
    </w:p>
    <w:p w:rsidR="00000000" w:rsidDel="00000000" w:rsidP="00000000" w:rsidRDefault="00000000" w:rsidRPr="00000000" w14:paraId="00000012">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overall business generated approximately $286.4K in profit, which is positive. However, the product and sub-category analysis shows that this aggregate result masks substantial variation. Some products and sub-categories generate strong positive profit, while others generate negative profit.</w:t>
      </w:r>
    </w:p>
    <w:p w:rsidR="00000000" w:rsidDel="00000000" w:rsidP="00000000" w:rsidRDefault="00000000" w:rsidRPr="00000000" w14:paraId="00000013">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strongest sub-category results show where the organisation is creating value, while the negative-profit lines show where value is being destroyed. Tables record approximately -$17.73K, Bookcases approximately -$3.47K and Supplies approximately -$1.19K in the Customer and Discount analysis. Week 3's Bottom 5 Products by Profit also identifies several individual loss-making products, including products associated with Cubify, Lexmark, Chromcraft and Bush Advantage.</w:t>
      </w:r>
    </w:p>
    <w:p w:rsidR="00000000" w:rsidDel="00000000" w:rsidP="00000000" w:rsidRDefault="00000000" w:rsidRPr="00000000" w14:paraId="00000014">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matters to stakeholders because revenue rankings can produce misleading conclusions. A high-sales product may appear strategically successful while contributing little or negative profit. Conversely, a product with lower sales may have a much stronger margin and therefore create more value per transaction.</w:t>
      </w:r>
    </w:p>
    <w:p w:rsidR="00000000" w:rsidDel="00000000" w:rsidP="00000000" w:rsidRDefault="00000000" w:rsidRPr="00000000" w14:paraId="00000015">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Recommendation</w:t>
      </w:r>
      <w:r w:rsidDel="00000000" w:rsidR="00000000" w:rsidRPr="00000000">
        <w:rPr>
          <w:rFonts w:ascii="Times New Roman" w:cs="Times New Roman" w:eastAsia="Times New Roman" w:hAnsi="Times New Roman"/>
          <w:color w:val="000000"/>
          <w:sz w:val="24"/>
          <w:szCs w:val="24"/>
          <w:rtl w:val="0"/>
        </w:rPr>
        <w:t xml:space="preserve">: Introduce a recurring product profitability review that classifies products into high-profit, low-profit and loss-making groups. High-profit products should be protected and evaluated for controlled expansion. Low-profit products should be investigated for improvement. Consistently loss-making products should be considered for repricing, cost renegotiation, and discount reduction.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Central Region Has a Profitability Gap Despite Significant Order Volume</w:t>
      </w:r>
    </w:p>
    <w:p w:rsidR="00000000" w:rsidDel="00000000" w:rsidP="00000000" w:rsidRDefault="00000000" w:rsidRPr="00000000" w14:paraId="00000017">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Central has 1,175 orders, more than South's 822, yet its average profit per order is only $34 compared with $67 in West. Its 7.92% profit margin is also the lowest among the four regions. The evidence therefore suggests that Central's challenge is not simply insufficient transaction volume; it is the profitability generated by those transactions.</w:t>
      </w:r>
    </w:p>
    <w:p w:rsidR="00000000" w:rsidDel="00000000" w:rsidP="00000000" w:rsidRDefault="00000000" w:rsidRPr="00000000" w14:paraId="00000018">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regional and senior management, this distinction is important. Increasing order volume without improving the economics of each transaction could produce limited financial benefit. Central should therefore be investigated in terms of what it sells, how it is priced, how much discount is applied, which customer segments it serves and what costs are associated with fulfilment.</w:t>
      </w:r>
    </w:p>
    <w:p w:rsidR="00000000" w:rsidDel="00000000" w:rsidP="00000000" w:rsidRDefault="00000000" w:rsidRPr="00000000" w14:paraId="00000019">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West provides a useful internal benchmark because it combines the highest order volume with the strongest average profit per order and margin. Management can compare Central with West to identify practices or portfolio differences that may explain the gap.</w:t>
      </w:r>
    </w:p>
    <w:p w:rsidR="00000000" w:rsidDel="00000000" w:rsidP="00000000" w:rsidRDefault="00000000" w:rsidRPr="00000000" w14:paraId="0000001A">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Recommendation</w:t>
      </w:r>
      <w:r w:rsidDel="00000000" w:rsidR="00000000" w:rsidRPr="00000000">
        <w:rPr>
          <w:rFonts w:ascii="Times New Roman" w:cs="Times New Roman" w:eastAsia="Times New Roman" w:hAnsi="Times New Roman"/>
          <w:color w:val="000000"/>
          <w:sz w:val="24"/>
          <w:szCs w:val="24"/>
          <w:rtl w:val="0"/>
        </w:rPr>
        <w:t xml:space="preserve">: Conduct a Central-versus-West diagnostic covering product mix, category mix, customer segments, average order value, discount exposure and relevant costs. Use the comparison to identify specific interventions rather than applying a generic regional sales target.</w:t>
      </w:r>
    </w:p>
    <w:p w:rsidR="00000000" w:rsidDel="00000000" w:rsidP="00000000" w:rsidRDefault="00000000" w:rsidRPr="00000000" w14:paraId="0000001B">
      <w:pPr>
        <w:spacing w:after="12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Opportunity: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Determine Whether Discount Exposure Is Affecting Profitability</w:t>
      </w:r>
    </w:p>
    <w:p w:rsidR="00000000" w:rsidDel="00000000" w:rsidP="00000000" w:rsidRDefault="00000000" w:rsidRPr="00000000" w14:paraId="0000001D">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Customer and Discount Dashboard add an important diagnostic layer to the Week 2 and Week 3 analysis. Average discount by category shows Furniture with the highest average discount rate at 17.39%, followed by Office Supplies at 15.73% and Technology at 13.23%.</w:t>
      </w:r>
    </w:p>
    <w:p w:rsidR="00000000" w:rsidDel="00000000" w:rsidP="00000000" w:rsidRDefault="00000000" w:rsidRPr="00000000" w14:paraId="0000001E">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findings justify further investigation but do not, by themselves, prove causation. For example, Binders has the highest cumulative discount exposure in the supplied sub-category table (567.00) while still generating approximately $30.22K profit. In contrast, Tables have a lower cumulative discount exposure of 83.35 but generate approximately -$17.73K profit. This demonstrates why management should not conclude that the highest aggregated discount automatically causes the largest loss.</w:t>
      </w:r>
    </w:p>
    <w:p w:rsidR="00000000" w:rsidDel="00000000" w:rsidP="00000000" w:rsidRDefault="00000000" w:rsidRPr="00000000" w14:paraId="0000001F">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stronger business question is whether higher discount rates are associated with weaker profit or margin after controlling for product, category, region and customer differences. Copiers and Machines are useful comparison cases: Copiers generate approximately $149.53K sales and $55.62K profit with only 11.00 cumulative discount exposure, while Machines generate approximately $189.24K sales and $3.38K profit with 35.20 exposure. These comparisons motivate further analysis but do not establish causation.</w:t>
      </w:r>
    </w:p>
    <w:p w:rsidR="00000000" w:rsidDel="00000000" w:rsidP="00000000" w:rsidRDefault="00000000" w:rsidRPr="00000000" w14:paraId="00000020">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Recommendation</w:t>
      </w:r>
      <w:r w:rsidDel="00000000" w:rsidR="00000000" w:rsidRPr="00000000">
        <w:rPr>
          <w:rFonts w:ascii="Times New Roman" w:cs="Times New Roman" w:eastAsia="Times New Roman" w:hAnsi="Times New Roman"/>
          <w:color w:val="000000"/>
          <w:sz w:val="24"/>
          <w:szCs w:val="24"/>
          <w:rtl w:val="0"/>
        </w:rPr>
        <w:t xml:space="preserve">: Analyse discount rate against profit and profit margin at product, sub-category, category, region and customer-segment levels. If a consistent relationship is confirmed, management can introduce minimum-margin thresholds, approval rules for large discounts and targeted rather than blanket promotions. If the relationship is weak, management should investigate other drivers such as procurement cost, pricing or product mix instead of restricting discounts unnecessarily.</w:t>
      </w:r>
    </w:p>
    <w:p w:rsidR="00000000" w:rsidDel="00000000" w:rsidP="00000000" w:rsidRDefault="00000000" w:rsidRPr="00000000" w14:paraId="00000021">
      <w:pPr>
        <w:spacing w:after="12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BUSINESS INSIGHTS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Overall Growth Is Strong, but the Quality of Growth Must Be Protected</w:t>
      </w:r>
    </w:p>
    <w:p w:rsidR="00000000" w:rsidDel="00000000" w:rsidP="00000000" w:rsidRDefault="00000000" w:rsidRPr="00000000" w14:paraId="00000023">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business generated approximately $2.3M in sales and $286.4K in profit. Week 3 adds 46.9% sales growth and 48.4% profit growth. Profit growth is therefore slightly higher than sales growth, providing a positive signal that the recent growth has generally been accompanied by profit generation.</w:t>
      </w:r>
    </w:p>
    <w:p w:rsidR="00000000" w:rsidDel="00000000" w:rsidP="00000000" w:rsidRDefault="00000000" w:rsidRPr="00000000" w14:paraId="00000024">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However, the detailed analysis shows that this positive aggregate result is not uniform. Furniture has a 2.49% margin, Tables generate negative profit, Central has a 7.92% regional margin, and some individual products are loss-making. The key stakeholder insight is therefore not simply that 'the business is growing, but that the business is growing while containing important pockets of weak profitability.</w:t>
      </w:r>
    </w:p>
    <w:p w:rsidR="00000000" w:rsidDel="00000000" w:rsidP="00000000" w:rsidRDefault="00000000" w:rsidRPr="00000000" w14:paraId="00000025">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Management should preserve the growth trajectory while ensuring that expansion is concentrated in areas capable of producing sustainable margins.</w:t>
      </w:r>
    </w:p>
    <w:p w:rsidR="00000000" w:rsidDel="00000000" w:rsidP="00000000" w:rsidRDefault="00000000" w:rsidRPr="00000000" w14:paraId="00000026">
      <w:pPr>
        <w:spacing w:after="12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7">
      <w:pPr>
        <w:spacing w:after="12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Technology Is the Strongest Profitable-Growth Opportunity</w:t>
      </w:r>
    </w:p>
    <w:p w:rsidR="00000000" w:rsidDel="00000000" w:rsidP="00000000" w:rsidRDefault="00000000" w:rsidRPr="00000000" w14:paraId="00000029">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Week 2 identified Technology as the leading sales category. Week 3 adds the profitability dimension: Technology has the highest category profit margin at 17.40%, narrowly ahead of Office Supplies at 17.04% and far ahead of Furniture at 2.49%.</w:t>
      </w:r>
    </w:p>
    <w:p w:rsidR="00000000" w:rsidDel="00000000" w:rsidP="00000000" w:rsidRDefault="00000000" w:rsidRPr="00000000" w14:paraId="0000002A">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combination of strong sales presence and strong margin makes Technology a strategically attractive category. The sub-category results reinforce the opportunity: Phones generate approximately $44.52K profit, Copiers approximately $55.62K and Accessories approximately $41.94K.</w:t>
      </w:r>
    </w:p>
    <w:p w:rsidR="00000000" w:rsidDel="00000000" w:rsidP="00000000" w:rsidRDefault="00000000" w:rsidRPr="00000000" w14:paraId="0000002B">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Management should prioritize high-performing Technology products for inventory availability, targeted marketing and customer targeting while protecting margins through disciplined pricing and discount management.</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Furniture Demonstrates That Sales Volume Does Not Equal Financial Success</w:t>
      </w:r>
    </w:p>
    <w:p w:rsidR="00000000" w:rsidDel="00000000" w:rsidP="00000000" w:rsidRDefault="00000000" w:rsidRPr="00000000" w14:paraId="0000002D">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Furniture's 2.49% margin is the clearest evidence that sales alone are insufficient to assess business performance. Tables generate approximately $206.97K sales but approximately -$17.73K profit.</w:t>
      </w:r>
    </w:p>
    <w:p w:rsidR="00000000" w:rsidDel="00000000" w:rsidP="00000000" w:rsidRDefault="00000000" w:rsidRPr="00000000" w14:paraId="0000002E">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For stakeholders, this means that a revenue-growth strategy applied without profitability controls could unintentionally increase financial pressure. Furniture therefore requires a profitability-led strategy rather than a sales-volume-led strategy.</w:t>
      </w:r>
    </w:p>
    <w:p w:rsidR="00000000" w:rsidDel="00000000" w:rsidP="00000000" w:rsidRDefault="00000000" w:rsidRPr="00000000" w14:paraId="0000002F">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Management should examine the economics of Furniture at product level and identify whether pricing, discounting, cost structure or product mix explains the weak return.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Overall Profitability Is Supported by Strong Contributors but Weakened by Loss-Making Lines</w:t>
      </w:r>
    </w:p>
    <w:p w:rsidR="00000000" w:rsidDel="00000000" w:rsidP="00000000" w:rsidRDefault="00000000" w:rsidRPr="00000000" w14:paraId="00000031">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analysis contains substantial variation. Copiers, Phones, Accessories, Binders and Storage are important positive contributors, while Tables, Bookcases and Supplies are negative in the supplied profitability analysis. This indicates that the overall $286.4K profit is a net result of both value creation and value destruction.</w:t>
      </w:r>
    </w:p>
    <w:p w:rsidR="00000000" w:rsidDel="00000000" w:rsidP="00000000" w:rsidRDefault="00000000" w:rsidRPr="00000000" w14:paraId="00000032">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business implication is that analysis decisions should be based on contribution and margin, not sales alone. Management can potentially improve total profit without simply increasing total sales by shifting attention toward products with stronger economics and correcting persistent losses.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Regional Order Volume Does Not Guarantee Regional Profitability</w:t>
      </w:r>
    </w:p>
    <w:p w:rsidR="00000000" w:rsidDel="00000000" w:rsidP="00000000" w:rsidRDefault="00000000" w:rsidRPr="00000000" w14:paraId="00000034">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West is the strongest regional performer with 1,611 orders, $67 average profit per order and a 14.94% margin. Central has 1,175 orders but only $34 average profit per order and a 7.92% margin.</w:t>
      </w:r>
    </w:p>
    <w:p w:rsidR="00000000" w:rsidDel="00000000" w:rsidP="00000000" w:rsidRDefault="00000000" w:rsidRPr="00000000" w14:paraId="00000035">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comparison demonstrates that transaction volume and financial quality are different measures. Central already has significant activity, so management should first improve the profitability of existing transactions before assuming that more orders are the solution.</w:t>
      </w:r>
    </w:p>
    <w:p w:rsidR="00000000" w:rsidDel="00000000" w:rsidP="00000000" w:rsidRDefault="00000000" w:rsidRPr="00000000" w14:paraId="00000036">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West should be used as an internal benchmark to identify differences in product mix, customer mix, discounting, pricing and costs.</w:t>
      </w:r>
    </w:p>
    <w:p w:rsidR="00000000" w:rsidDel="00000000" w:rsidP="00000000" w:rsidRDefault="00000000" w:rsidRPr="00000000" w14:paraId="00000037">
      <w:pPr>
        <w:spacing w:after="12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8">
      <w:pPr>
        <w:spacing w:after="12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Profit Contribution Is Also Concentrated by Customer Group</w:t>
      </w:r>
    </w:p>
    <w:p w:rsidR="00000000" w:rsidDel="00000000" w:rsidP="00000000" w:rsidRDefault="00000000" w:rsidRPr="00000000" w14:paraId="0000003A">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Customer and Discount Dashboard show Consumer as the largest profit-contributing customer segment at approximately $134K, followed by Corporate at approximately $92K and Home Office at approximately $60K.</w:t>
      </w:r>
    </w:p>
    <w:p w:rsidR="00000000" w:rsidDel="00000000" w:rsidP="00000000" w:rsidRDefault="00000000" w:rsidRPr="00000000" w14:paraId="0000003B">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dashboard also identifies the top five customers by sales: Tamara Chand ($19K), Raymond Buch ($15K), Adrian Barton ($14K), Sanjit Chand ($14K) and Hunter Lopez ($13K). The same leading customers also appear among the strongest contributors by profit, with Tamara Chand at approximately $9.0K and Raymond Buch at approximately $7.0K.</w:t>
      </w:r>
    </w:p>
    <w:p w:rsidR="00000000" w:rsidDel="00000000" w:rsidP="00000000" w:rsidRDefault="00000000" w:rsidRPr="00000000" w14:paraId="0000003C">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suggests that customer value is not evenly distributed. For stakeholders, this creates both an opportunity and a concentration consideration: valuable customers should receive appropriate retention and relationship attention, while the business should avoid relying exclusively on a small number of customers without understanding the wider customer base.</w:t>
      </w:r>
    </w:p>
    <w:p w:rsidR="00000000" w:rsidDel="00000000" w:rsidP="00000000" w:rsidRDefault="00000000" w:rsidRPr="00000000" w14:paraId="0000003D">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Management should combine customer sales and profit analysis rather than targeting customers solely by revenue. High-sales but low-profit customers should be investigated separately from customers who produce both high sales and high profit.</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Discounting Should Be Managed for Value, Not Volume Alone</w:t>
      </w:r>
    </w:p>
    <w:p w:rsidR="00000000" w:rsidDel="00000000" w:rsidP="00000000" w:rsidRDefault="00000000" w:rsidRPr="00000000" w14:paraId="0000003F">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Customer and Discount Dashboard shows that Furniture has the highest average discount rate at 17.39%, while Technology has the lowest at 13.23%. The sub-category analysis also highlights Binders as a cumulative discount-rate exposure outlier at 567.00.</w:t>
      </w:r>
    </w:p>
    <w:p w:rsidR="00000000" w:rsidDel="00000000" w:rsidP="00000000" w:rsidRDefault="00000000" w:rsidRPr="00000000" w14:paraId="00000040">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These findings do not prove that discounting causes low profitability. Because Discount is a rate field, aggregated discount exposure must be interpreted carefully, and profitability is also influenced by product cost, selling price, product mix and transaction characteristics.</w:t>
      </w:r>
    </w:p>
    <w:p w:rsidR="00000000" w:rsidDel="00000000" w:rsidP="00000000" w:rsidRDefault="00000000" w:rsidRPr="00000000" w14:paraId="00000041">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stakeholder-level opportunity is therefore to determine which discount strategies create incremental value and which merely reduce margin. Management should evaluate discount rate alongside profit margin, sales growth and customer/product characteristics before changing discount policy.</w:t>
      </w:r>
    </w:p>
    <w:p w:rsidR="00000000" w:rsidDel="00000000" w:rsidP="00000000" w:rsidRDefault="00000000" w:rsidRPr="00000000" w14:paraId="00000042">
      <w:pPr>
        <w:spacing w:after="12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RECOMMENDATIONS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Adopt a Profitable-Growth Framework</w:t>
      </w:r>
    </w:p>
    <w:p w:rsidR="00000000" w:rsidDel="00000000" w:rsidP="00000000" w:rsidRDefault="00000000" w:rsidRPr="00000000" w14:paraId="00000044">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sales growth and profit growth together when evaluating performance. The 46.9% sales growth and 48.4% profit growth are encouraging, but management should monitor whether future growth continues to produce healthy margins across categories, products and regions.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Prioritize High-Margin Technology Opportunities</w:t>
      </w:r>
    </w:p>
    <w:p w:rsidR="00000000" w:rsidDel="00000000" w:rsidP="00000000" w:rsidRDefault="00000000" w:rsidRPr="00000000" w14:paraId="00000046">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Protect and selectively expand Technology because it combines strong sales performance with a 17.40% category margin. Prioritize Phones, Copiers and Accessories where the profitability analysis indicates strong contribution, while maintaining inventory and pricing discipline.</w:t>
      </w:r>
    </w:p>
    <w:p w:rsidR="00000000" w:rsidDel="00000000" w:rsidP="00000000" w:rsidRDefault="00000000" w:rsidRPr="00000000" w14:paraId="00000047">
      <w:pPr>
        <w:spacing w:after="12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8">
      <w:pPr>
        <w:spacing w:after="12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Launch a Furniture Profitability Improvement Programme</w:t>
      </w:r>
    </w:p>
    <w:p w:rsidR="00000000" w:rsidDel="00000000" w:rsidP="00000000" w:rsidRDefault="00000000" w:rsidRPr="00000000" w14:paraId="0000004A">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Conduct a detailed review of Furniture, beginning with Tables. Compare selling price, discount rate, product cost, order characteristics and other relevant costs. Do not use sales growth alone as the success criterion.</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Establish a Loss-Making Product Review Process</w:t>
      </w:r>
    </w:p>
    <w:p w:rsidR="00000000" w:rsidDel="00000000" w:rsidP="00000000" w:rsidRDefault="00000000" w:rsidRPr="00000000" w14:paraId="0000004C">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recurring list of negative-profit products and review them using profit, margin, sales, discount, cost and order volume. Corrective actions should be evidence-led and may include repricing, cost negotiation, discount reduction, portfolio changes or discontinuation.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Benchmark Central Against West</w:t>
      </w:r>
    </w:p>
    <w:p w:rsidR="00000000" w:rsidDel="00000000" w:rsidP="00000000" w:rsidRDefault="00000000" w:rsidRPr="00000000" w14:paraId="0000004E">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Use West's 14.94% margin and $67 average profit per order as an internal benchmark. Compare Central's product mix, customer mix, pricing, discount exposure and costs to identify the drivers of its 7.92% margin and $34 average profit per order.</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Introduce Evidence-Based Discount Governance</w:t>
      </w:r>
    </w:p>
    <w:p w:rsidR="00000000" w:rsidDel="00000000" w:rsidP="00000000" w:rsidRDefault="00000000" w:rsidRPr="00000000" w14:paraId="00000050">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Do not impose blanket discount restrictions based solely on the dashboard. First test the relationship between discount rates and profit/margin. If a meaningful relationship is confirmed, introduce minimum-margin thresholds, approval controls for unusually high discounts and product-specific discount strategies.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720" w:right="0" w:hanging="360"/>
        <w:jc w:val="left"/>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Manage Key Customers by Profitability as Well as Revenue</w:t>
      </w:r>
    </w:p>
    <w:p w:rsidR="00000000" w:rsidDel="00000000" w:rsidP="00000000" w:rsidRDefault="00000000" w:rsidRPr="00000000" w14:paraId="00000052">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Consumer contributes the largest segment profit at approximately $134K, and several top customers contribute strongly to both sales and profit. Management should therefore segment customers by both revenue and profitability, identify high-value relationships for retention, and investigate customers whose sales are high but whose profit contribution is weak.</w:t>
      </w:r>
    </w:p>
    <w:p w:rsidR="00000000" w:rsidDel="00000000" w:rsidP="00000000" w:rsidRDefault="00000000" w:rsidRPr="00000000" w14:paraId="00000053">
      <w:pPr>
        <w:spacing w:after="12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r w:rsidDel="00000000" w:rsidR="00000000" w:rsidRPr="00000000">
        <w:rPr>
          <w:rtl w:val="0"/>
        </w:rPr>
      </w:r>
    </w:p>
    <w:p w:rsidR="00000000" w:rsidDel="00000000" w:rsidP="00000000" w:rsidRDefault="00000000" w:rsidRPr="00000000" w14:paraId="00000054">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Week 2 established the Superstore's overall performance and identified major contributors across sales, products, customers and regions. Week 3 advanced the analysis by investigating the quality of that performance through growth measures, profitability margins, average profitability per order, product and sub-category analysis, regional comparisons, customer contribution and discount exposure.</w:t>
      </w:r>
    </w:p>
    <w:p w:rsidR="00000000" w:rsidDel="00000000" w:rsidP="00000000" w:rsidRDefault="00000000" w:rsidRPr="00000000" w14:paraId="00000055">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business generated approximately $2.3M in sales and $286.4K in profit, with 46.9% sales growth and 48.4% profit growth. This provides a strong foundation for continued growth. However, the deeper analysis shows that profitability is uneven. Technology combines strong sales performance with the highest category margin of 17.40%, while Furniture records only 2.49% and Tables generate approximately $206.97K in sales but approximately -$17.73K profit.</w:t>
      </w:r>
    </w:p>
    <w:p w:rsidR="00000000" w:rsidDel="00000000" w:rsidP="00000000" w:rsidRDefault="00000000" w:rsidRPr="00000000" w14:paraId="00000056">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At product level, strong contributors such as Copiers, Phones and Accessories support the overall profit position, while loss-making products and sub-categories reduce the quality of that profit. Regionally, West demonstrates the strongest transaction economics, whereas Central has a substantially lower margin and average profit per order despite significant order volume.</w:t>
      </w:r>
    </w:p>
    <w:p w:rsidR="00000000" w:rsidDel="00000000" w:rsidP="00000000" w:rsidRDefault="00000000" w:rsidRPr="00000000" w14:paraId="00000057">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Customer &amp; Discount Dashboard further shows that Consumer is the largest profit-contributing segment and that customer profitability is concentrated among selected high-value customers. Discount patterns provide an important area for investigation, but because Discount is a rate field and aggregated exposure does not establish causation, management should test the relationship with profit and margin before introducing new discount controls.</w:t>
      </w:r>
    </w:p>
    <w:p w:rsidR="00000000" w:rsidDel="00000000" w:rsidP="00000000" w:rsidRDefault="00000000" w:rsidRPr="00000000" w14:paraId="00000058">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overall recommendation is therefore to move from a sales-volume-focused approach toward a profitable-growth strategy. Management should protect high-margin opportunities, correct loss-making areas, benchmark weaker regions against stronger ones, manage key customers based on profitability as well as revenue, and use discounting strategically. This represents the core value of the Week 3 extension: it does not simply report what happened in Week 2; it provides a more actionable explanation of where value is created, where value is lost, and where management should focus next.</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4"/>
      <w:szCs w:val="44"/>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bhQCdTc1J3IATiaKtteMX4XjAQ==">CgMxLjA4AHIhMVJCOHJGa29oSGpja01QMEQ1VzZGZHRiSVVuMFJDdm1l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2026-08-21T10:53:00Z</dcterms:created>
  <dc:creator>python-docx</dc:creator>
</cp:coreProperties>
</file>