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HealthConnect Clinic — Week 5 Initial Analytics Report</w:t>
      </w:r>
    </w:p>
    <w:p>
      <w:pPr>
        <w:spacing w:after="300"/>
      </w:pPr>
      <w:r>
        <w:t xml:space="preserve">Data Analytics Track | AnalystLab Africa Experience Lab</w:t>
      </w:r>
    </w:p>
    <w:p>
      <w:pPr>
        <w:spacing w:after="80"/>
      </w:pPr>
      <w:r>
        <w:rPr>
          <w:b/>
          <w:bCs/>
        </w:rPr>
        <w:t xml:space="preserve">Project: </w:t>
      </w:r>
      <w:r>
        <w:t xml:space="preserve">Improving Patient Appointment Attendance and Healthcare Support Using Data and AI</w:t>
      </w:r>
    </w:p>
    <w:p>
      <w:pPr>
        <w:spacing w:after="80"/>
      </w:pPr>
      <w:r>
        <w:rPr>
          <w:b/>
          <w:bCs/>
        </w:rPr>
        <w:t xml:space="preserve">Central Project Question: </w:t>
      </w:r>
      <w:r>
        <w:t xml:space="preserve">How can HealthConnect Clinic use data and AI to reduce missed appointments and improve the patient support experience?</w:t>
      </w:r>
    </w:p>
    <w:p>
      <w:pPr>
        <w:spacing w:after="80"/>
      </w:pPr>
      <w:r>
        <w:rPr>
          <w:b/>
          <w:bCs/>
        </w:rPr>
        <w:t xml:space="preserve">Resources Used: </w:t>
      </w:r>
      <w:r>
        <w:t xml:space="preserve">HealthConnect_Appointment_Data.csv, HealthConnect_Data_Dictionary.xlsx, HealthConnect Clinic Knowledge Base</w:t>
      </w:r>
    </w:p>
    <w:p>
      <w:pPr>
        <w:pStyle w:val="Heading1"/>
        <w:spacing w:after="160" w:before="320"/>
      </w:pPr>
      <w:r>
        <w:t xml:space="preserve">0. Week 4 → Week 5 Transition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Problem defined: understand the appointment dataset and identify how it can be used to investigate appointment attendance and no-show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Week 4 proposed approach: segment deep-dive on five candidate KPIs, statistical grounding via chi-square testing, cross-tabulation of combined effects, a slot-utilisation angle, and hand-off to Data Science.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Key Week 4 assumptions/limitations carried forward: synthetic dataset; the Sunday-appointment flag (737 records) unresolved; distance/waiting-time missingness (&lt;2% each) left unimputed; all relationships correlational, not causal.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Week 5 delivers on the full Week 4 plan: this report executes every proposed step.</w:t>
      </w:r>
    </w:p>
    <w:p>
      <w:pPr>
        <w:pStyle w:val="Heading1"/>
        <w:spacing w:after="160" w:before="320"/>
      </w:pPr>
      <w:r>
        <w:t xml:space="preserve">1. Data Preparation</w:t>
      </w:r>
    </w:p>
    <w:p>
      <w:pPr>
        <w:spacing w:after="160"/>
      </w:pPr>
      <w:r>
        <w:t xml:space="preserve">The dataset was re-inspected for completeness, duplication and logical consistency ahead of deeper analysis. The original CSV was not modified; four derived columns (lead time band, prior no-show band, distance band, risk tier) were added and saved separately to HealthConnect_Appointment_Data_processed.csv.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00"/>
      </w:tblGrid>
      <w:tr>
        <w:tc>
          <w:tcPr>
            <w:tcW w:type="dxa" w:w="4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Check</w:t>
            </w:r>
          </w:p>
        </w:tc>
        <w:tc>
          <w:tcPr>
            <w:tcW w:type="dxa" w:w="50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rows / appointment IDs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found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Logical consistency checks (negative values, date order, no-show count logic, age)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violations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reminder_channel missing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1,366 (27.3%) — structural, aligns exactly with reminder_sent = No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distance_to_clinic_km missing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(1.8%) — minor, excluded row-wise where used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waiting_time_minutes missing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(1.2%) — minor, excluded row-wise where used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Sunday appointment records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737 (14.7%) — conflicts with Knowledge Base Sunday closure; unresolved, unchanged from Week 4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2. Exploratory Data Analysis</w:t>
      </w:r>
    </w:p>
    <w:p>
      <w:pPr>
        <w:pStyle w:val="Heading2"/>
        <w:spacing w:after="120" w:before="240"/>
      </w:pPr>
      <w:r>
        <w:t xml:space="preserve">2.1 Appointment &amp; patient characteristics</w:t>
      </w:r>
    </w:p>
    <w:p>
      <w:pPr>
        <w:spacing w:after="160"/>
      </w:pPr>
      <w:r>
        <w:t xml:space="preserve">Appointment type, day of week, time of day, gender and age group all show no-show rates within a few points of the ~48% baseline — none stand out as a strong standalone driver.</w:t>
      </w:r>
    </w:p>
    <w:p>
      <w:pPr>
        <w:pStyle w:val="Heading2"/>
        <w:spacing w:after="120" w:before="240"/>
      </w:pPr>
      <w:r>
        <w:t xml:space="preserve">2.2 Previous appointment history</w:t>
      </w:r>
    </w:p>
    <w:p>
      <w:pPr>
        <w:spacing w:after="160"/>
      </w:pPr>
      <w:r>
        <w:t xml:space="preserve">A strong, statistically significant relationship (χ²=82.0, p&lt;0.001): no-show rate rises from 43.5% (no prior no-shows) to 68.8% (3+ prior no-shows).</w:t>
      </w:r>
    </w:p>
    <w:p>
      <w:pPr>
        <w:pStyle w:val="Heading2"/>
        <w:spacing w:after="120" w:before="240"/>
      </w:pPr>
      <w:r>
        <w:t xml:space="preserve">2.3 Reminders</w:t>
      </w:r>
    </w:p>
    <w:p>
      <w:pPr>
        <w:spacing w:after="160"/>
      </w:pPr>
      <w:r>
        <w:t xml:space="preserve">The overall reminder effect is small but statistically significant (χ²=10.2, p≈0.006). Critically, the effect is far from uniform: among higher-risk patients (2+ prior no-shows), a reminder drops the no-show rate by ~10 points (68.2%→58.2%), versus only ~3 points for lower-risk patients (49.3%→46.1%).</w:t>
      </w:r>
    </w:p>
    <w:p>
      <w:pPr>
        <w:pStyle w:val="Heading2"/>
        <w:spacing w:after="120" w:before="240"/>
      </w:pPr>
      <w:r>
        <w:t xml:space="preserve">2.4 Waiting time</w:t>
      </w:r>
    </w:p>
    <w:p>
      <w:pPr>
        <w:spacing w:after="160"/>
      </w:pPr>
      <w:r>
        <w:t xml:space="preserve">Average waiting time is nearly identical across Attended, No-Show and Cancelled groups (~23-24 minutes) — no meaningful relationship with outcome was found.</w:t>
      </w:r>
    </w:p>
    <w:p>
      <w:pPr>
        <w:pStyle w:val="Heading2"/>
        <w:spacing w:after="120" w:before="240"/>
      </w:pPr>
      <w:r>
        <w:t xml:space="preserve">2.5 Distance to clinic</w:t>
      </w:r>
    </w:p>
    <w:p>
      <w:pPr>
        <w:spacing w:after="160"/>
      </w:pPr>
      <w:r>
        <w:t xml:space="preserve">Statistically significant (χ²=21.2, p≈0.0017). No-show rate is flat under 20km (~46-47%) but rises to 57.8% at 20km or more.</w:t>
      </w:r>
    </w:p>
    <w:p>
      <w:pPr>
        <w:pStyle w:val="Heading2"/>
        <w:spacing w:after="120" w:before="240"/>
      </w:pPr>
      <w:r>
        <w:t xml:space="preserve">2.6 Cancellations vs. no-shows — slot utilisation</w:t>
      </w:r>
    </w:p>
    <w:p>
      <w:pPr>
        <w:spacing w:after="160"/>
      </w:pPr>
      <w:r>
        <w:t xml:space="preserve">Over half of all scheduled slots (53.7%) are never used as originally booked. Cancellations (5.3%) are far smaller than no-shows (48.5%), but at least give advance notice for potential rebooking, unlike no-shows.</w:t>
      </w:r>
    </w:p>
    <w:p>
      <w:pPr>
        <w:pStyle w:val="Heading2"/>
        <w:spacing w:after="120" w:before="240"/>
      </w:pPr>
      <w:r>
        <w:t xml:space="preserve">2.7 Compounding effect: lead time × prior no-show history</w:t>
      </w:r>
    </w:p>
    <w:p>
      <w:pPr>
        <w:spacing w:after="160"/>
      </w:pPr>
      <w:r>
        <w:t xml:space="preserve">The two strongest drivers compound sharply: patients with 3+ prior no-shows booked 15-60 days out reach an 80-81% no-show rate — the highest-risk segment identified — while clean-history patients booked within a week sit at just 22%.</w:t>
      </w:r>
    </w:p>
    <w:p>
      <w:pPr>
        <w:pStyle w:val="Heading1"/>
        <w:spacing w:after="160" w:before="320"/>
      </w:pPr>
      <w:r>
        <w:t xml:space="preserve">3. KPI Development</w:t>
      </w:r>
    </w:p>
    <w:p>
      <w:pPr>
        <w:spacing w:after="160"/>
      </w:pPr>
      <w:r>
        <w:t xml:space="preserve">All five KPIs proposed in Week 4 were calculated and are summarised below; full definitions, business questions and interpretations follow.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5100"/>
      </w:tblGrid>
      <w:tr>
        <w:tc>
          <w:tcPr>
            <w:tcW w:type="dxa" w:w="5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51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No-Show Rate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48.46%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No-Show Rate by Booking Lead Time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27.8% (0-7d) → 60.5% (31-60d); χ2=339.0, p&lt;0.001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No-Show Rate by Prior No-Show Count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43.5% (0 prior) → 68.8% (3+ prior); χ2=82.0, p&lt;0.001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 Effectiveness Rate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47.4% (reminded) vs 51.4% (not); χ2=10.2, p≈0.006. Higher-risk patients: -10pts; lower-risk: -3pts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No-Show Rate by Distance Band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~46-47% (&lt;20km) → 57.8% (20km+); χ2=21.2, p≈0.0017</w:t>
            </w:r>
          </w:p>
        </w:tc>
      </w:tr>
    </w:tbl>
    <w:p>
      <w:pPr>
        <w:spacing w:after="200"/>
      </w:pPr>
    </w:p>
    <w:p>
      <w:pPr>
        <w:pStyle w:val="Heading3"/>
        <w:spacing w:after="80" w:before="200"/>
      </w:pPr>
      <w:r>
        <w:t xml:space="preserve">KPI 1 — Overall No-Show Rate</w:t>
      </w:r>
    </w:p>
    <w:p>
      <w:pPr>
        <w:spacing w:after="60"/>
      </w:pPr>
      <w:r>
        <w:rPr>
          <w:b/>
          <w:bCs/>
          <w:i/>
          <w:iCs/>
        </w:rPr>
        <w:t xml:space="preserve">Business question: </w:t>
      </w:r>
      <w:r>
        <w:t xml:space="preserve">What is the overall scale of the no-show problem?</w:t>
      </w:r>
    </w:p>
    <w:p>
      <w:pPr>
        <w:spacing w:after="60"/>
      </w:pPr>
      <w:r>
        <w:rPr>
          <w:b/>
          <w:bCs/>
          <w:i/>
          <w:iCs/>
        </w:rPr>
        <w:t xml:space="preserve">Why it matters: </w:t>
      </w:r>
      <w:r>
        <w:t xml:space="preserve">It is the single top-line measure of the scale of the problem HealthConnect is trying to solve.</w:t>
      </w:r>
    </w:p>
    <w:p>
      <w:pPr>
        <w:spacing w:after="60"/>
      </w:pPr>
      <w:r>
        <w:rPr>
          <w:b/>
          <w:bCs/>
          <w:i/>
          <w:iCs/>
        </w:rPr>
        <w:t xml:space="preserve">Interpretation: </w:t>
      </w:r>
      <w:r>
        <w:t xml:space="preserve">Essentially one in two scheduled appointments is missed outright — large enough to justify dedicated intervention.</w:t>
      </w:r>
    </w:p>
    <w:p>
      <w:pPr>
        <w:pStyle w:val="Heading3"/>
        <w:spacing w:after="80" w:before="200"/>
      </w:pPr>
      <w:r>
        <w:t xml:space="preserve">KPI 2 — No-Show Rate by Booking Lead Time Band</w:t>
      </w:r>
    </w:p>
    <w:p>
      <w:pPr>
        <w:spacing w:after="60"/>
      </w:pPr>
      <w:r>
        <w:rPr>
          <w:b/>
          <w:bCs/>
          <w:i/>
          <w:iCs/>
        </w:rPr>
        <w:t xml:space="preserve">Business question: </w:t>
      </w:r>
      <w:r>
        <w:t xml:space="preserve">Does the amount of lead time between booking and the appointment affect the likelihood of a no-show?</w:t>
      </w:r>
    </w:p>
    <w:p>
      <w:pPr>
        <w:spacing w:after="60"/>
      </w:pPr>
      <w:r>
        <w:rPr>
          <w:b/>
          <w:bCs/>
          <w:i/>
          <w:iCs/>
        </w:rPr>
        <w:t xml:space="preserve">Why it matters: </w:t>
      </w:r>
      <w:r>
        <w:t xml:space="preserve">It identifies whether how far in advance a patient books is itself a risk factor, independent of who the patient is.</w:t>
      </w:r>
    </w:p>
    <w:p>
      <w:pPr>
        <w:spacing w:after="60"/>
      </w:pPr>
      <w:r>
        <w:rPr>
          <w:b/>
          <w:bCs/>
          <w:i/>
          <w:iCs/>
        </w:rPr>
        <w:t xml:space="preserve">Interpretation: </w:t>
      </w:r>
      <w:r>
        <w:t xml:space="preserve">The strongest single driver found. Appointments booked more than a month out are more than twice as likely to be missed as those booked within a week.</w:t>
      </w:r>
    </w:p>
    <w:p>
      <w:pPr>
        <w:pStyle w:val="Heading3"/>
        <w:spacing w:after="80" w:before="200"/>
      </w:pPr>
      <w:r>
        <w:t xml:space="preserve">KPI 3 — No-Show Rate by Prior No-Show Count</w:t>
      </w:r>
    </w:p>
    <w:p>
      <w:pPr>
        <w:spacing w:after="60"/>
      </w:pPr>
      <w:r>
        <w:rPr>
          <w:b/>
          <w:bCs/>
          <w:i/>
          <w:iCs/>
        </w:rPr>
        <w:t xml:space="preserve">Business question: </w:t>
      </w:r>
      <w:r>
        <w:t xml:space="preserve">Can a patient's appointment history be used to flag higher-risk future appointments?</w:t>
      </w:r>
    </w:p>
    <w:p>
      <w:pPr>
        <w:spacing w:after="60"/>
      </w:pPr>
      <w:r>
        <w:rPr>
          <w:b/>
          <w:bCs/>
          <w:i/>
          <w:iCs/>
        </w:rPr>
        <w:t xml:space="preserve">Why it matters: </w:t>
      </w:r>
      <w:r>
        <w:t xml:space="preserve">Past behaviour is often the best available predictor of future behaviour, and this field is already captured.</w:t>
      </w:r>
    </w:p>
    <w:p>
      <w:pPr>
        <w:spacing w:after="60"/>
      </w:pPr>
      <w:r>
        <w:rPr>
          <w:b/>
          <w:bCs/>
          <w:i/>
          <w:iCs/>
        </w:rPr>
        <w:t xml:space="preserve">Interpretation: </w:t>
      </w:r>
      <w:r>
        <w:t xml:space="preserve">A simple, explainable risk rule (2+ prior no-shows = higher risk) could be applied immediately, without a predictive model.</w:t>
      </w:r>
    </w:p>
    <w:p>
      <w:pPr>
        <w:pStyle w:val="Heading3"/>
        <w:spacing w:after="80" w:before="200"/>
      </w:pPr>
      <w:r>
        <w:t xml:space="preserve">KPI 4 — Reminder Effectiveness Rate</w:t>
      </w:r>
    </w:p>
    <w:p>
      <w:pPr>
        <w:spacing w:after="60"/>
      </w:pPr>
      <w:r>
        <w:rPr>
          <w:b/>
          <w:bCs/>
          <w:i/>
          <w:iCs/>
        </w:rPr>
        <w:t xml:space="preserve">Business question: </w:t>
      </w:r>
      <w:r>
        <w:t xml:space="preserve">Are reminders — and the channel used — associated with a measurable reduction in no-shows?</w:t>
      </w:r>
    </w:p>
    <w:p>
      <w:pPr>
        <w:spacing w:after="60"/>
      </w:pPr>
      <w:r>
        <w:rPr>
          <w:b/>
          <w:bCs/>
          <w:i/>
          <w:iCs/>
        </w:rPr>
        <w:t xml:space="preserve">Why it matters: </w:t>
      </w:r>
      <w:r>
        <w:t xml:space="preserve">Reminders are a low-cost, easily-scaled intervention — if they work, they're one of the cheapest levers available.</w:t>
      </w:r>
    </w:p>
    <w:p>
      <w:pPr>
        <w:spacing w:after="60"/>
      </w:pPr>
      <w:r>
        <w:rPr>
          <w:b/>
          <w:bCs/>
          <w:i/>
          <w:iCs/>
        </w:rPr>
        <w:t xml:space="preserve">Interpretation: </w:t>
      </w:r>
      <w:r>
        <w:t xml:space="preserve">Blanket reminders have a real but limited effect; reminders are far more valuable for higher-risk patients specifically — reframing the question from ‘do reminders work’ to ‘who should get more reminder effort.’</w:t>
      </w:r>
    </w:p>
    <w:p>
      <w:pPr>
        <w:pStyle w:val="Heading3"/>
        <w:spacing w:after="80" w:before="200"/>
      </w:pPr>
      <w:r>
        <w:t xml:space="preserve">KPI 5 — No-Show Rate by Distance Band</w:t>
      </w:r>
    </w:p>
    <w:p>
      <w:pPr>
        <w:spacing w:after="60"/>
      </w:pPr>
      <w:r>
        <w:rPr>
          <w:b/>
          <w:bCs/>
          <w:i/>
          <w:iCs/>
        </w:rPr>
        <w:t xml:space="preserve">Business question: </w:t>
      </w:r>
      <w:r>
        <w:t xml:space="preserve">Does distance to the clinic influence attendance, and could this inform outreach or scheduling decisions?</w:t>
      </w:r>
    </w:p>
    <w:p>
      <w:pPr>
        <w:spacing w:after="60"/>
      </w:pPr>
      <w:r>
        <w:rPr>
          <w:b/>
          <w:bCs/>
          <w:i/>
          <w:iCs/>
        </w:rPr>
        <w:t xml:space="preserve">Why it matters: </w:t>
      </w:r>
      <w:r>
        <w:t xml:space="preserve">If distance is a real barrier, it points to structural fixes (telehealth, transport support) rather than behavioural ones (reminders).</w:t>
      </w:r>
    </w:p>
    <w:p>
      <w:pPr>
        <w:spacing w:after="60"/>
      </w:pPr>
      <w:r>
        <w:rPr>
          <w:b/>
          <w:bCs/>
          <w:i/>
          <w:iCs/>
        </w:rPr>
        <w:t xml:space="preserve">Interpretation: </w:t>
      </w:r>
      <w:r>
        <w:t xml:space="preserve">Distance is a threshold effect, not a broad gradient — patients beyond ~20km face a meaningfully higher barrier.</w:t>
      </w:r>
    </w:p>
    <w:p>
      <w:pPr>
        <w:pStyle w:val="Heading1"/>
        <w:spacing w:after="160" w:before="320"/>
      </w:pPr>
      <w:r>
        <w:t xml:space="preserve">4. Dashboard</w:t>
      </w:r>
    </w:p>
    <w:p>
      <w:pPr>
        <w:spacing w:after="160"/>
      </w:pPr>
      <w:r>
        <w:t xml:space="preserve">The dashboard below brings together all five KPIs plus the compounding lead-time × prior-no-show effect.</w:t>
      </w:r>
    </w:p>
    <w:p>
      <w:pPr>
        <w:spacing w:after="200"/>
      </w:pPr>
      <w:r>
        <w:drawing>
          <wp:inline distT="0" distB="0" distL="0" distR="0">
            <wp:extent cx="59055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t xml:space="preserve">5. Business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problem is large and material: 48.5% of appointments end in a no-show, and combined with cancellations, 53.7% of scheduled slots are never used as booked.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Booking lead time is the single strongest, most statistically significant driver found (χ2=339.0, p&lt;0.001): no-show rate more than doubles from 27.8% (booked within a week) to 60.5% (booked 31-60 days 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Patient history is a ready-made, low-cost risk signal: 3+ prior no-shows correspond to a 68.8% no-show rate vs. 43.5% for a clean record (p&lt;0.001) — a simple rule-based flag could be deployed without any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Reminders work, but disproportionately for higher-risk patients: the overall effect is modest (~4-point drop, p≈0.006), but higher-risk patients see a ~10-point drop versus ~3 points for lower-risk patients.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Distance is a threshold effect, not a broad gradient: no-show rate is flat under 20km (~46-47%) but jumps to 57.8% at 20km+ (p≈0.0017).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Risk factors compound sharply: patients with 3+ prior no-shows and a 15+ day lead time reach an 80-81% no-show rate — the single highest-priority segment for intervention.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Several intuitive factors turned out not to matter much: appointment type, day of week, time of day, gender, age group and waiting time all sit within a few points of the ~48% baseline.</w:t>
      </w:r>
    </w:p>
    <w:p>
      <w:pPr>
        <w:pStyle w:val="Heading1"/>
        <w:spacing w:after="160" w:before="320"/>
      </w:pPr>
      <w:r>
        <w:t xml:space="preserve">6. Business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Introduce a re-confirmation step roughly 2-3 weeks before appointments booked more than 15 days in advance, where no-show risk climbs fastest.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 a simple, explainable risk flag on booking history alone (2+ prior no-shows = higher-risk) to prioritise limited reminder/outreach capacity ahead of any predictive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Shift reminder strategy from blanket coverage toward targeted investment in higher-risk patients, where the evidence shows the largest effect.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Pilot a telehealth or transport-support option for patients 20km+ from the clinic, since standard reminders are unlikely to fix a genuine access barrier.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Treat the compounding “long lead time + poor history” segment (80-81% no-show rate) as the priority group for any future intervention or model-based targeting.</w:t>
      </w:r>
    </w:p>
    <w:p>
      <w:pPr>
        <w:pStyle w:val="Heading1"/>
        <w:spacing w:after="160" w:before="320"/>
      </w:pPr>
      <w:r>
        <w:t xml:space="preserve">7.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findings are correlational, from a single synthetic dataset snapshot — no causal claims are made; true experimentation would be needed to confirm intervention effectiveness.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Sunday-appointment inconsistency (737 records) remains unresolved and has not been corrected in this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Distance and waiting-time missingness (under 2% each) was excluded row-wise rather than imputed.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Statistical significance confirms an association exists, not its real-world size — several significant effects (e.g. distance, reminders) are modest in absolute terms.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dataset is explicitly fictional and synthetic; magnitudes should not be read as HealthConnect's literal real-world performance.</w:t>
      </w:r>
    </w:p>
    <w:p>
      <w:pPr>
        <w:pStyle w:val="Heading1"/>
        <w:spacing w:after="160" w:before="320"/>
      </w:pPr>
      <w:r>
        <w:t xml:space="preserve">8. Cross-Track Collaboration</w:t>
      </w:r>
    </w:p>
    <w:p>
      <w:pPr>
        <w:spacing w:after="80"/>
      </w:pPr>
      <w:r>
        <w:rPr>
          <w:b/>
          <w:bCs/>
        </w:rPr>
        <w:t xml:space="preserve">Track interacted with: </w:t>
      </w:r>
      <w:r>
        <w:t xml:space="preserve">Data Science</w:t>
      </w:r>
    </w:p>
    <w:p>
      <w:pPr>
        <w:spacing w:after="80"/>
      </w:pPr>
      <w:r>
        <w:rPr>
          <w:b/>
          <w:bCs/>
        </w:rPr>
        <w:t xml:space="preserve">Information/output exchanged: </w:t>
      </w:r>
      <w:r>
        <w:t xml:space="preserve">The five KPI definitions, the statistically significant risk segments (lead time, prior no-show count, and their compounding effect), and the finding that reminder effectiveness varies by patient risk tier.</w:t>
      </w:r>
    </w:p>
    <w:p>
      <w:pPr>
        <w:spacing w:after="80"/>
      </w:pPr>
      <w:r>
        <w:rPr>
          <w:b/>
          <w:bCs/>
        </w:rPr>
        <w:t xml:space="preserve">Why relevant: </w:t>
      </w:r>
      <w:r>
        <w:t xml:space="preserve">The Data Science track's Week 5 task is to prepare features and a baseline no-show prediction model; these segments directly inform which variables are worth prioritising as features.</w:t>
      </w:r>
    </w:p>
    <w:p>
      <w:pPr>
        <w:spacing w:after="80"/>
      </w:pPr>
      <w:r>
        <w:rPr>
          <w:b/>
          <w:bCs/>
        </w:rPr>
        <w:t xml:space="preserve">What changed as a result: </w:t>
      </w:r>
      <w:r>
        <w:t xml:space="preserve">Rather than testing all variables blind, the Data Science track can prioritise lead time, prior no-show count, distance and reminder status as candidate features, and treat the lead-time × prior-no-show interaction as a feature worth engineering explicitly.</w:t>
      </w:r>
    </w:p>
    <w:p>
      <w:pPr>
        <w:pStyle w:val="Heading1"/>
        <w:spacing w:after="160" w:before="320"/>
      </w:pPr>
      <w:r>
        <w:t xml:space="preserve">9. Assumptions, Limitations, Risks &amp; Dependencies — Week 5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Dataset is synthetic/fictional — still relevant,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Sunday appointment flag (737 records) — still unresolved, no clarification received; still treated as an artifact.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Distance/waiting-time missingness (&lt;2% each) — still relevant, handled the same way (row-wise exclusion).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Correlation vs. causation caveat — still relevant, reinforced by this week's statistical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Reminders assumed broadly effective — changed: Week 5 shows the effect is real but small overall, and concentrated in higher-risk patients; this refines rather than confirms the Week 4 assumption.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New issue discovered: waiting time shows no meaningful relationship with outcome — likely a lower priority variable going forward.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Dependency on the Knowledge Base as source of truth — still relevant; the Sunday flag conflict remains a live dependency on stakeholder input.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d5fd5b8da7853e518134f47726b5b4a5d669e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2026-09-06T18:56:51.905Z</dcterms:created>
  <dcterms:modified xsi:type="dcterms:W3CDTF">2026-09-06T18:56:51.915Z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