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t xml:space="preserve">HealthConnect Clinic — Week 5 Project Summary</w:t>
      </w:r>
    </w:p>
    <w:p>
      <w:pPr>
        <w:spacing w:after="300"/>
      </w:pPr>
      <w:r>
        <w:t xml:space="preserve">Data Analytics Track | AnalystLab Africa Experience Lab</w:t>
      </w:r>
    </w:p>
    <w:p>
      <w:pPr>
        <w:pStyle w:val="Heading1"/>
        <w:spacing w:after="160" w:before="320"/>
      </w:pPr>
      <w:r>
        <w:t xml:space="preserve">1. Planned for Week 5</w:t>
      </w:r>
    </w:p>
    <w:p>
      <w:pPr>
        <w:spacing w:after="160"/>
      </w:pPr>
      <w:r>
        <w:t xml:space="preserve">Move from Week 4's planning (business questions, candidate KPIs, data quality review) into full exploratory analysis: calculate the five proposed KPIs, run statistical tests to confirm which patterns are meaningful, build a dashboard, and generate business insights and recommendations.</w:t>
      </w:r>
    </w:p>
    <w:p>
      <w:pPr>
        <w:pStyle w:val="Heading1"/>
        <w:spacing w:after="160" w:before="320"/>
      </w:pPr>
      <w:r>
        <w:t xml:space="preserve">2. What Was Actually Completed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Re-confirmed data quality (no duplicates, no logical inconsistencies, minor explainable missingness).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Calculated all five KPIs proposed in Week 4, each with a chi-square significance test.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Ran deeper exploratory cuts across appointment characteristics, patient characteristics, history, reminders, waiting time, distance and cancellations.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Identified a compounding effect between booking lead time and prior no-show history.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Built a six-panel analytical dashboard summarising all key findings.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Produced 7 business insights and 5 concrete recommendations.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Saved a processed dataset (with derived risk/segment columns) separately from the original source file.</w:t>
      </w:r>
    </w:p>
    <w:p>
      <w:pPr>
        <w:pStyle w:val="Heading1"/>
        <w:spacing w:after="160" w:before="320"/>
      </w:pPr>
      <w:r>
        <w:t xml:space="preserve">3. Key Findings / Development Outcomes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48.5% overall no-show rate; 53.7% of all slots go unused as booked once cancellations are included.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Booking lead time is the strongest driver (27.8% → 60.5% no-show rate, p&lt;0.001).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Prior no-show history is the second-strongest driver (43.5% → 68.8%, p&lt;0.001), and compounds with lead time to reach 80-81% in the highest-risk segment.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Reminders are statistically significant but modest overall, and matter far more for higher-risk patients (~10-point reduction) than lower-risk patients (~3-point reduction).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Distance is a threshold effect: flat below 20km, rising sharply beyond it.</w:t>
      </w:r>
    </w:p>
    <w:p>
      <w:pPr>
        <w:pStyle w:val="Heading1"/>
        <w:spacing w:after="160" w:before="320"/>
      </w:pPr>
      <w:r>
        <w:t xml:space="preserve">4. Major Challenges Encountered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Sunday-appointment inconsistency identified in Week 4 remains unresolved, with no stakeholder clarification available yet — it was carried forward as a documented, unaddressed data quality flag rather than corrected.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Distinguishing statistical significance from practical importance required care — several effects (e.g. distance, reminders) are statistically real but modest in absolute size, which shaped how the recommendations were framed.</w:t>
      </w:r>
    </w:p>
    <w:p>
      <w:pPr>
        <w:pStyle w:val="Heading1"/>
        <w:spacing w:after="160" w:before="320"/>
      </w:pPr>
      <w:r>
        <w:t xml:space="preserve">5. Important Decisions Made and Why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Kept all five Week 4 KPIs rather than narrowing to three, since all five were grounded in statistically significant patterns worth reporting.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Chose to segment the reminder-effectiveness KPI by patient risk tier rather than reporting only the overall effect, since the overall figure understated how much reminders matter for higher-risk patients.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Left the Sunday-appointment records unmodified rather than dropping or correcting them, in line with the instruction not to alter source data without stakeholder guidance.</w:t>
      </w:r>
    </w:p>
    <w:p>
      <w:pPr>
        <w:pStyle w:val="Heading1"/>
        <w:spacing w:after="160" w:before="320"/>
      </w:pPr>
      <w:r>
        <w:t xml:space="preserve">6. Changes to the Week 4 Approach</w:t>
      </w:r>
    </w:p>
    <w:p>
      <w:pPr>
        <w:spacing w:after="160"/>
      </w:pPr>
      <w:r>
        <w:t xml:space="preserve">No changes to the overall approach were needed — Week 5 executed the plan proposed in Week 4 in full. The one refinement was to the reminder-effectiveness KPI, which was extended to include a risk-tier breakdown once the overall effect turned out to be smaller than expected.</w:t>
      </w:r>
    </w:p>
    <w:p>
      <w:pPr>
        <w:pStyle w:val="Heading1"/>
        <w:spacing w:after="160" w:before="320"/>
      </w:pPr>
      <w:r>
        <w:t xml:space="preserve">7. Cross-Track Collaboration Completed</w:t>
      </w:r>
    </w:p>
    <w:p>
      <w:pPr>
        <w:spacing w:after="160"/>
      </w:pPr>
      <w:r>
        <w:t xml:space="preserve">Shared the five KPI definitions and statistically significant risk segments (lead time, prior no-show count, and their compounding effect) with the Data Science track, to help prioritise candidate features for their Week 5 baseline no-show prediction model.</w:t>
      </w:r>
    </w:p>
    <w:p>
      <w:pPr>
        <w:pStyle w:val="Heading1"/>
        <w:spacing w:after="160" w:before="320"/>
      </w:pPr>
      <w:r>
        <w:t xml:space="preserve">8. Remaining Work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Resolve the Sunday-appointment data quality flag with AnalystLab/clinic stakeholders.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Explore whether an agreed imputation approach is needed for the small amount of missing distance and waiting-time data.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Extend the dashboard into a more interactive format if a BI tool (e.g. Power BI/Tableau) is adopted in later weeks.</w:t>
      </w:r>
    </w:p>
    <w:p>
      <w:pPr>
        <w:pStyle w:val="Heading1"/>
        <w:spacing w:after="160" w:before="320"/>
      </w:pPr>
      <w:r>
        <w:t xml:space="preserve">9. Proposed Focus for Week 6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Track the same KPIs over time if additional data becomes available, to see whether patterns are stable.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Support the Data Science track in evaluating their baseline model results against the segments identified here.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Investigate the cancellation population (5.3%) specifically, to assess how many of those slots could realistically have been rebooked.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2026-09-06T18:57:17.526Z</dcterms:created>
  <dcterms:modified xsi:type="dcterms:W3CDTF">2026-09-06T18:57:17.526Z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