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9"/>
          <w:sz w:val="36"/>
          <w:szCs w:val="36"/>
        </w:rPr>
        <w:t xml:space="preserve">HealthConnect Clinic — Week 6</w:t>
      </w:r>
    </w:p>
    <w:p>
      <w:pPr>
        <w:spacing w:after="200"/>
      </w:pPr>
      <w:r>
        <w:rPr>
          <w:b/>
          <w:bCs/>
          <w:color w:val="1F4E79"/>
          <w:sz w:val="30"/>
          <w:szCs w:val="30"/>
        </w:rPr>
        <w:t xml:space="preserve">Advanced Analytics &amp; Decision Support Report</w:t>
      </w:r>
    </w:p>
    <w:p>
      <w:pPr>
        <w:spacing w:after="150"/>
      </w:pPr>
      <w:r>
        <w:rPr>
          <w:i/>
          <w:iCs/>
        </w:rPr>
        <w:t xml:space="preserve">Data Analytics Track | AnalystLab Africa Experience Lab</w:t>
      </w:r>
    </w:p>
    <w:p>
      <w:pPr>
        <w:spacing w:after="150"/>
      </w:pPr>
      <w:r>
        <w:t xml:space="preserve">Project: Improving Patient Appointment Attendance and Healthcare Support Using Data and AI</w:t>
      </w:r>
    </w:p>
    <w:p>
      <w:pPr>
        <w:spacing w:after="150"/>
      </w:pPr>
      <w:r>
        <w:t xml:space="preserve">Central Project Question: How can HealthConnect Clinic use data and AI to reduce missed appointments and improve the patient support experience?</w:t>
      </w:r>
    </w:p>
    <w:p>
      <w:pPr>
        <w:spacing w:after="150"/>
      </w:pPr>
      <w:r>
        <w:t xml:space="preserve">Resources Used: HealthConnect_Appointment_Data_processed.csv (Week 5 derived dataset), HealthConnect_Data_Dictionary.xlsx, HealthConnect Clinic Knowledge Base, Week 5 Analytics Report &amp; Notebook</w:t>
      </w:r>
    </w:p>
    <w:p>
      <w:pPr>
        <w:pStyle w:val="Heading1"/>
        <w:spacing w:after="150" w:before="300"/>
      </w:pPr>
      <w:r>
        <w:t xml:space="preserve">0. Week 5 → Week 6 Transition</w:t>
      </w:r>
    </w:p>
    <w:p>
      <w:pPr>
        <w:spacing w:after="120"/>
      </w:pPr>
      <w:r>
        <w:rPr>
          <w:b/>
          <w:bCs/>
        </w:rPr>
        <w:t xml:space="preserve">Main Week 5 output: </w:t>
      </w:r>
      <w:r>
        <w:t xml:space="preserve">The HealthConnect Advanced Analytics Report — five KPIs (overall no-show rate, no-show rate by lead time, by prior no-show count, reminder effectiveness, and by distance band), each backed by a chi-square significance test, a six-panel dashboard, 7 business insights and 5 recommendations.</w:t>
      </w:r>
    </w:p>
    <w:p>
      <w:pPr>
        <w:spacing w:after="120"/>
      </w:pPr>
      <w:r>
        <w:rPr>
          <w:b/>
          <w:bCs/>
        </w:rPr>
        <w:t xml:space="preserve">Most important result: </w:t>
      </w:r>
      <w:r>
        <w:t xml:space="preserve">Booking lead time was the strongest single driver identified (27.8% no-show rate within 7 days vs. 60.5% at 31-60 days, χ²=339.0, p&lt;0.001), and it compounds with prior no-show history to reach an 80-81% no-show rate in the highest-risk segment.</w:t>
      </w:r>
    </w:p>
    <w:p>
      <w:pPr>
        <w:spacing w:after="120"/>
      </w:pPr>
      <w:r>
        <w:rPr>
          <w:b/>
          <w:bCs/>
        </w:rPr>
        <w:t xml:space="preserve">Main issue/limitation discovered: </w:t>
      </w:r>
      <w:r>
        <w:t xml:space="preserve">All Week 5 relationships were univariate (one variable at a time) and correlational — it was not yet established whether these effects hold once other factors are controlled for, whether they are practically large or just statistically significant, or whether the unresolved Sunday-appointment anomaly (737 records, 14.7%) was distorting any of them.</w:t>
      </w:r>
    </w:p>
    <w:p>
      <w:pPr>
        <w:spacing w:after="120"/>
      </w:pPr>
      <w:r>
        <w:rPr>
          <w:b/>
          <w:bCs/>
        </w:rPr>
        <w:t xml:space="preserve">Track(s) relevant to Week 6 activities: </w:t>
      </w:r>
      <w:r>
        <w:t xml:space="preserve">Data Science (validated KPIs and risk segments feed their feature selection and model evaluation) and, indirectly, ML Engineering (whichever features Data Science finalises will need to flow through the pipeline).</w:t>
      </w:r>
    </w:p>
    <w:p>
      <w:pPr>
        <w:spacing w:after="120"/>
      </w:pPr>
      <w:r>
        <w:rPr>
          <w:b/>
          <w:bCs/>
        </w:rPr>
        <w:t xml:space="preserve">What this report improves, integrates and validates: </w:t>
      </w:r>
      <w:r>
        <w:t xml:space="preserve">It (1) validates the five Week 5 KPIs using multivariate logistic regression and effect-size statistics rather than univariate tests alone; (2) checks whether findings are consistent across patient/appointment segments and unaffected by the Sunday anomaly; (3) deepens the reminder-channel and cancellation analysis; (4) quantifies business impact; and (5) formalises the Data Analytics → Data Science integration.</w:t>
      </w:r>
    </w:p>
    <w:p>
      <w:pPr>
        <w:pStyle w:val="Heading1"/>
        <w:spacing w:after="150" w:before="300"/>
      </w:pPr>
      <w:r>
        <w:t xml:space="preserve">1. Part 1 — Week 6 Integration Readiness</w:t>
      </w:r>
    </w:p>
    <w:p>
      <w:pPr>
        <w:pStyle w:val="Heading2"/>
        <w:spacing w:after="120" w:before="240"/>
      </w:pPr>
      <w:r>
        <w:t xml:space="preserve">A. Integration Point</w:t>
      </w:r>
    </w:p>
    <w:p>
      <w:pPr>
        <w:spacing w:after="120"/>
      </w:pPr>
      <w:r>
        <w:rPr>
          <w:b/>
          <w:bCs/>
        </w:rPr>
        <w:t xml:space="preserve">Track collaborating with: </w:t>
      </w:r>
      <w:r>
        <w:t xml:space="preserve">Data Science.</w:t>
      </w:r>
    </w:p>
    <w:p>
      <w:pPr>
        <w:spacing w:after="120"/>
      </w:pPr>
      <w:r>
        <w:rPr>
          <w:b/>
          <w:bCs/>
        </w:rPr>
        <w:t xml:space="preserve">Output needed from that track: </w:t>
      </w:r>
      <w:r>
        <w:t xml:space="preserve">Confirmation of which Week 5-flagged features (booking lead time, prior no-show count, distance to clinic, reminder status) were used in their baseline model; the model's performance specifically on the highest-risk segment identified in Week 5 (3+ prior no-shows and 15+ day lead time); and their feature-importance ranking.</w:t>
      </w:r>
    </w:p>
    <w:p>
      <w:pPr>
        <w:spacing w:after="120"/>
      </w:pPr>
      <w:r>
        <w:rPr>
          <w:b/>
          <w:bCs/>
        </w:rPr>
        <w:t xml:space="preserve">Output provided to that track: </w:t>
      </w:r>
      <w:r>
        <w:t xml:space="preserve">The refined, multivariate-validated risk-driver ranking in this report (Section 3), the reminder-channel effectiveness breakdown (Section 2.4), and the updated highest-priority segment definition (Section 5).</w:t>
      </w:r>
    </w:p>
    <w:p>
      <w:pPr>
        <w:spacing w:after="120"/>
      </w:pPr>
      <w:r>
        <w:rPr>
          <w:b/>
          <w:bCs/>
        </w:rPr>
        <w:t xml:space="preserve">Why the connection is relevant: </w:t>
      </w:r>
      <w:r>
        <w:t xml:space="preserve">Data Science's model can only be evaluated meaningfully against the risk segments Data Analytics has defined and validated — and Data Analytics' recommendations become more actionable once it is known whether a predictive model can operationalise them (e.g. an explainable risk flag vs. a scored model).</w:t>
      </w:r>
    </w:p>
    <w:p>
      <w:pPr>
        <w:pStyle w:val="Heading2"/>
        <w:spacing w:after="120" w:before="240"/>
      </w:pPr>
      <w:r>
        <w:t xml:space="preserve">B. Integration Objective</w:t>
      </w:r>
    </w:p>
    <w:p>
      <w:pPr>
        <w:spacing w:after="150"/>
      </w:pPr>
      <w:r>
        <w:t xml:space="preserve">After this integration activity, the Data Analytics track's risk-driver ranking will be confirmed as robust to confounding (via multivariate analysis) and handed to Data Science in a form ready to benchmark their model against; in return, Data Science's model performance on the defined high-risk segment will tell Data Analytics whether a rule-based flag is sufficient or whether a scored model materially outperforms it — directly answering the business question of which intervention approach to recommend.</w:t>
      </w:r>
    </w:p>
    <w:p>
      <w:pPr>
        <w:pStyle w:val="Heading2"/>
        <w:spacing w:after="120" w:before="240"/>
      </w:pPr>
      <w:r>
        <w:t xml:space="preserve">C. Evidence</w:t>
      </w:r>
    </w:p>
    <w:p>
      <w:pPr>
        <w:spacing w:after="150"/>
      </w:pPr>
      <w:r>
        <w:t xml:space="preserve">Outreach was sent to the Data Science track intern currently finishing Week 5 (see Section 6 for the full exchange and status). Evidence to date: the outreach message requesting the three specific items above. This section will be finalised with the response received, model performance figures, and any resulting revision to the recommendations in this report.</w:t>
      </w:r>
    </w:p>
    <w:p>
      <w:pPr>
        <w:pStyle w:val="Heading1"/>
        <w:spacing w:after="150" w:before="300"/>
      </w:pPr>
      <w:r>
        <w:t xml:space="preserve">2. Deeper Investigation of Week 5 Findings</w:t>
      </w:r>
    </w:p>
    <w:p>
      <w:pPr>
        <w:spacing w:after="150"/>
      </w:pPr>
      <w:r>
        <w:t xml:space="preserve">Per the Week 6 brief, this section does not repeat the Week 5 EDA. It re-examines the findings most central to the project's recommendations — booking lead time, prior no-show history, reminders and distance — using methods Week 5 did not apply: multivariate control for confounding, effect-size comparison, subgroup consistency checks, and a sensitivity check against the unresolved Sunday anomaly.</w:t>
      </w:r>
    </w:p>
    <w:p>
      <w:pPr>
        <w:pStyle w:val="Heading2"/>
        <w:spacing w:after="120" w:before="240"/>
      </w:pPr>
      <w:r>
        <w:t xml:space="preserve">2.1 Multivariate Validation — Does Each Driver Hold Once Others Are Controlled For?</w:t>
      </w:r>
    </w:p>
    <w:p>
      <w:pPr>
        <w:spacing w:after="150"/>
      </w:pPr>
      <w:r>
        <w:t xml:space="preserve">Week 5's KPIs were tested one variable at a time. A multivariate logistic regression (no-show vs. attended/cancelled, n=4,910 after excluding rows with missing distance) was run with booking lead time, prior no-show count, distance, reminder status, age group, appointment type and gender entered simultaneously, to check whether each effect survives once the others are accounted for.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1300"/>
        <w:gridCol w:w="3140"/>
      </w:tblGrid>
      <w:tr>
        <w:trPr>
          <w:tblHeader/>
        </w:trPr>
        <w:tc>
          <w:tcPr>
            <w:tcW w:type="dxa" w:w="2600"/>
            <w:shd w:fill="1F4E79" w:val="clear"/>
          </w:tcPr>
          <w:p>
            <w:r>
              <w:rPr>
                <w:b/>
                <w:bCs/>
                <w:color w:val="FFFFFF"/>
                <w:sz w:val="20"/>
                <w:szCs w:val="20"/>
              </w:rPr>
              <w:t xml:space="preserve">Driver</w:t>
            </w:r>
          </w:p>
        </w:tc>
        <w:tc>
          <w:tcPr>
            <w:tcW w:type="dxa" w:w="1500"/>
            <w:shd w:fill="1F4E79" w:val="clear"/>
          </w:tcPr>
          <w:p>
            <w:r>
              <w:rPr>
                <w:b/>
                <w:bCs/>
                <w:color w:val="FFFFFF"/>
                <w:sz w:val="20"/>
                <w:szCs w:val="20"/>
              </w:rPr>
              <w:t xml:space="preserve">Odds Ratio</w:t>
            </w:r>
          </w:p>
        </w:tc>
        <w:tc>
          <w:tcPr>
            <w:tcW w:type="dxa" w:w="1700"/>
            <w:shd w:fill="1F4E79" w:val="clear"/>
          </w:tcPr>
          <w:p>
            <w:r>
              <w:rPr>
                <w:b/>
                <w:bCs/>
                <w:color w:val="FFFFFF"/>
                <w:sz w:val="20"/>
                <w:szCs w:val="20"/>
              </w:rPr>
              <w:t xml:space="preserve">95% CI</w:t>
            </w:r>
          </w:p>
        </w:tc>
        <w:tc>
          <w:tcPr>
            <w:tcW w:type="dxa" w:w="1300"/>
            <w:shd w:fill="1F4E79" w:val="clear"/>
          </w:tcPr>
          <w:p>
            <w:r>
              <w:rPr>
                <w:b/>
                <w:bCs/>
                <w:color w:val="FFFFFF"/>
                <w:sz w:val="20"/>
                <w:szCs w:val="20"/>
              </w:rPr>
              <w:t xml:space="preserve">p-value</w:t>
            </w:r>
          </w:p>
        </w:tc>
        <w:tc>
          <w:tcPr>
            <w:tcW w:type="dxa" w:w="3140"/>
            <w:shd w:fill="1F4E79" w:val="clear"/>
          </w:tcPr>
          <w:p>
            <w:r>
              <w:rPr>
                <w:b/>
                <w:bCs/>
                <w:color w:val="FFFFFF"/>
                <w:sz w:val="20"/>
                <w:szCs w:val="20"/>
              </w:rPr>
              <w:t xml:space="preserve">Interpretation</w:t>
            </w:r>
          </w:p>
        </w:tc>
      </w:tr>
      <w:tr>
        <w:tc>
          <w:tcPr>
            <w:tcW w:type="dxa" w:w="2600"/>
          </w:tcPr>
          <w:p>
            <w:r>
              <w:rPr>
                <w:sz w:val="20"/>
                <w:szCs w:val="20"/>
              </w:rPr>
              <w:t xml:space="preserve">Lead time 31-60d (vs 0-7d)</w:t>
            </w:r>
          </w:p>
        </w:tc>
        <w:tc>
          <w:tcPr>
            <w:tcW w:type="dxa" w:w="1500"/>
          </w:tcPr>
          <w:p>
            <w:r>
              <w:rPr>
                <w:sz w:val="20"/>
                <w:szCs w:val="20"/>
              </w:rPr>
              <w:t xml:space="preserve">4.24</w:t>
            </w:r>
          </w:p>
        </w:tc>
        <w:tc>
          <w:tcPr>
            <w:tcW w:type="dxa" w:w="1700"/>
          </w:tcPr>
          <w:p>
            <w:r>
              <w:rPr>
                <w:sz w:val="20"/>
                <w:szCs w:val="20"/>
              </w:rPr>
              <w:t xml:space="preserve">3.48 – 5.16</w:t>
            </w:r>
          </w:p>
        </w:tc>
        <w:tc>
          <w:tcPr>
            <w:tcW w:type="dxa" w:w="1300"/>
          </w:tcPr>
          <w:p>
            <w:r>
              <w:rPr>
                <w:sz w:val="20"/>
                <w:szCs w:val="20"/>
              </w:rPr>
              <w:t xml:space="preserve">&lt;0.001</w:t>
            </w:r>
          </w:p>
        </w:tc>
        <w:tc>
          <w:tcPr>
            <w:tcW w:type="dxa" w:w="3140"/>
          </w:tcPr>
          <w:p>
            <w:r>
              <w:rPr>
                <w:sz w:val="20"/>
                <w:szCs w:val="20"/>
              </w:rPr>
              <w:t xml:space="preserve">Remains the strongest driver by far</w:t>
            </w:r>
          </w:p>
        </w:tc>
      </w:tr>
      <w:tr>
        <w:tc>
          <w:tcPr>
            <w:tcW w:type="dxa" w:w="2600"/>
          </w:tcPr>
          <w:p>
            <w:r>
              <w:rPr>
                <w:sz w:val="20"/>
                <w:szCs w:val="20"/>
              </w:rPr>
              <w:t xml:space="preserve">Lead time 15-30d (vs 0-7d)</w:t>
            </w:r>
          </w:p>
        </w:tc>
        <w:tc>
          <w:tcPr>
            <w:tcW w:type="dxa" w:w="1500"/>
          </w:tcPr>
          <w:p>
            <w:r>
              <w:rPr>
                <w:sz w:val="20"/>
                <w:szCs w:val="20"/>
              </w:rPr>
              <w:t xml:space="preserve">2.05</w:t>
            </w:r>
          </w:p>
        </w:tc>
        <w:tc>
          <w:tcPr>
            <w:tcW w:type="dxa" w:w="1700"/>
          </w:tcPr>
          <w:p>
            <w:r>
              <w:rPr>
                <w:sz w:val="20"/>
                <w:szCs w:val="20"/>
              </w:rPr>
              <w:t xml:space="preserve">1.66 – 2.53</w:t>
            </w:r>
          </w:p>
        </w:tc>
        <w:tc>
          <w:tcPr>
            <w:tcW w:type="dxa" w:w="1300"/>
          </w:tcPr>
          <w:p>
            <w:r>
              <w:rPr>
                <w:sz w:val="20"/>
                <w:szCs w:val="20"/>
              </w:rPr>
              <w:t xml:space="preserve">&lt;0.001</w:t>
            </w:r>
          </w:p>
        </w:tc>
        <w:tc>
          <w:tcPr>
            <w:tcW w:type="dxa" w:w="3140"/>
          </w:tcPr>
          <w:p>
            <w:r>
              <w:rPr>
                <w:sz w:val="20"/>
                <w:szCs w:val="20"/>
              </w:rPr>
              <w:t xml:space="preserve">Confirmed, dose-response pattern</w:t>
            </w:r>
          </w:p>
        </w:tc>
      </w:tr>
      <w:tr>
        <w:tc>
          <w:tcPr>
            <w:tcW w:type="dxa" w:w="2600"/>
          </w:tcPr>
          <w:p>
            <w:r>
              <w:rPr>
                <w:sz w:val="20"/>
                <w:szCs w:val="20"/>
              </w:rPr>
              <w:t xml:space="preserve">Lead time 8-14d (vs 0-7d)</w:t>
            </w:r>
          </w:p>
        </w:tc>
        <w:tc>
          <w:tcPr>
            <w:tcW w:type="dxa" w:w="1500"/>
          </w:tcPr>
          <w:p>
            <w:r>
              <w:rPr>
                <w:sz w:val="20"/>
                <w:szCs w:val="20"/>
              </w:rPr>
              <w:t xml:space="preserve">1.38</w:t>
            </w:r>
          </w:p>
        </w:tc>
        <w:tc>
          <w:tcPr>
            <w:tcW w:type="dxa" w:w="1700"/>
          </w:tcPr>
          <w:p>
            <w:r>
              <w:rPr>
                <w:sz w:val="20"/>
                <w:szCs w:val="20"/>
              </w:rPr>
              <w:t xml:space="preserve">1.07 – 1.77</w:t>
            </w:r>
          </w:p>
        </w:tc>
        <w:tc>
          <w:tcPr>
            <w:tcW w:type="dxa" w:w="1300"/>
          </w:tcPr>
          <w:p>
            <w:r>
              <w:rPr>
                <w:sz w:val="20"/>
                <w:szCs w:val="20"/>
              </w:rPr>
              <w:t xml:space="preserve">0.012</w:t>
            </w:r>
          </w:p>
        </w:tc>
        <w:tc>
          <w:tcPr>
            <w:tcW w:type="dxa" w:w="3140"/>
          </w:tcPr>
          <w:p>
            <w:r>
              <w:rPr>
                <w:sz w:val="20"/>
                <w:szCs w:val="20"/>
              </w:rPr>
              <w:t xml:space="preserve">Confirmed, smaller effect</w:t>
            </w:r>
          </w:p>
        </w:tc>
      </w:tr>
      <w:tr>
        <w:tc>
          <w:tcPr>
            <w:tcW w:type="dxa" w:w="2600"/>
          </w:tcPr>
          <w:p>
            <w:r>
              <w:rPr>
                <w:sz w:val="20"/>
                <w:szCs w:val="20"/>
              </w:rPr>
              <w:t xml:space="preserve">Prior no-shows 3+ (vs 0)</w:t>
            </w:r>
          </w:p>
        </w:tc>
        <w:tc>
          <w:tcPr>
            <w:tcW w:type="dxa" w:w="1500"/>
          </w:tcPr>
          <w:p>
            <w:r>
              <w:rPr>
                <w:sz w:val="20"/>
                <w:szCs w:val="20"/>
              </w:rPr>
              <w:t xml:space="preserve">3.33</w:t>
            </w:r>
          </w:p>
        </w:tc>
        <w:tc>
          <w:tcPr>
            <w:tcW w:type="dxa" w:w="1700"/>
          </w:tcPr>
          <w:p>
            <w:r>
              <w:rPr>
                <w:sz w:val="20"/>
                <w:szCs w:val="20"/>
              </w:rPr>
              <w:t xml:space="preserve">2.08 – 5.32</w:t>
            </w:r>
          </w:p>
        </w:tc>
        <w:tc>
          <w:tcPr>
            <w:tcW w:type="dxa" w:w="1300"/>
          </w:tcPr>
          <w:p>
            <w:r>
              <w:rPr>
                <w:sz w:val="20"/>
                <w:szCs w:val="20"/>
              </w:rPr>
              <w:t xml:space="preserve">&lt;0.001</w:t>
            </w:r>
          </w:p>
        </w:tc>
        <w:tc>
          <w:tcPr>
            <w:tcW w:type="dxa" w:w="3140"/>
          </w:tcPr>
          <w:p>
            <w:r>
              <w:rPr>
                <w:sz w:val="20"/>
                <w:szCs w:val="20"/>
              </w:rPr>
              <w:t xml:space="preserve">Confirmed as second-strongest driver</w:t>
            </w:r>
          </w:p>
        </w:tc>
      </w:tr>
      <w:tr>
        <w:tc>
          <w:tcPr>
            <w:tcW w:type="dxa" w:w="2600"/>
          </w:tcPr>
          <w:p>
            <w:r>
              <w:rPr>
                <w:sz w:val="20"/>
                <w:szCs w:val="20"/>
              </w:rPr>
              <w:t xml:space="preserve">Prior no-shows 2 (vs 0)</w:t>
            </w:r>
          </w:p>
        </w:tc>
        <w:tc>
          <w:tcPr>
            <w:tcW w:type="dxa" w:w="1500"/>
          </w:tcPr>
          <w:p>
            <w:r>
              <w:rPr>
                <w:sz w:val="20"/>
                <w:szCs w:val="20"/>
              </w:rPr>
              <w:t xml:space="preserve">2.09</w:t>
            </w:r>
          </w:p>
        </w:tc>
        <w:tc>
          <w:tcPr>
            <w:tcW w:type="dxa" w:w="1700"/>
          </w:tcPr>
          <w:p>
            <w:r>
              <w:rPr>
                <w:sz w:val="20"/>
                <w:szCs w:val="20"/>
              </w:rPr>
              <w:t xml:space="preserve">1.68 – 2.59</w:t>
            </w:r>
          </w:p>
        </w:tc>
        <w:tc>
          <w:tcPr>
            <w:tcW w:type="dxa" w:w="1300"/>
          </w:tcPr>
          <w:p>
            <w:r>
              <w:rPr>
                <w:sz w:val="20"/>
                <w:szCs w:val="20"/>
              </w:rPr>
              <w:t xml:space="preserve">&lt;0.001</w:t>
            </w:r>
          </w:p>
        </w:tc>
        <w:tc>
          <w:tcPr>
            <w:tcW w:type="dxa" w:w="3140"/>
          </w:tcPr>
          <w:p>
            <w:r>
              <w:rPr>
                <w:sz w:val="20"/>
                <w:szCs w:val="20"/>
              </w:rPr>
              <w:t xml:space="preserve">Confirmed</w:t>
            </w:r>
          </w:p>
        </w:tc>
      </w:tr>
      <w:tr>
        <w:tc>
          <w:tcPr>
            <w:tcW w:type="dxa" w:w="2600"/>
          </w:tcPr>
          <w:p>
            <w:r>
              <w:rPr>
                <w:sz w:val="20"/>
                <w:szCs w:val="20"/>
              </w:rPr>
              <w:t xml:space="preserve">Prior no-shows 1 (vs 0)</w:t>
            </w:r>
          </w:p>
        </w:tc>
        <w:tc>
          <w:tcPr>
            <w:tcW w:type="dxa" w:w="1500"/>
          </w:tcPr>
          <w:p>
            <w:r>
              <w:rPr>
                <w:sz w:val="20"/>
                <w:szCs w:val="20"/>
              </w:rPr>
              <w:t xml:space="preserve">1.50</w:t>
            </w:r>
          </w:p>
        </w:tc>
        <w:tc>
          <w:tcPr>
            <w:tcW w:type="dxa" w:w="1700"/>
          </w:tcPr>
          <w:p>
            <w:r>
              <w:rPr>
                <w:sz w:val="20"/>
                <w:szCs w:val="20"/>
              </w:rPr>
              <w:t xml:space="preserve">1.31 – 1.70</w:t>
            </w:r>
          </w:p>
        </w:tc>
        <w:tc>
          <w:tcPr>
            <w:tcW w:type="dxa" w:w="1300"/>
          </w:tcPr>
          <w:p>
            <w:r>
              <w:rPr>
                <w:sz w:val="20"/>
                <w:szCs w:val="20"/>
              </w:rPr>
              <w:t xml:space="preserve">&lt;0.001</w:t>
            </w:r>
          </w:p>
        </w:tc>
        <w:tc>
          <w:tcPr>
            <w:tcW w:type="dxa" w:w="3140"/>
          </w:tcPr>
          <w:p>
            <w:r>
              <w:rPr>
                <w:sz w:val="20"/>
                <w:szCs w:val="20"/>
              </w:rPr>
              <w:t xml:space="preserve">Confirmed, smaller effect</w:t>
            </w:r>
          </w:p>
        </w:tc>
      </w:tr>
      <w:tr>
        <w:tc>
          <w:tcPr>
            <w:tcW w:type="dxa" w:w="2600"/>
          </w:tcPr>
          <w:p>
            <w:r>
              <w:rPr>
                <w:sz w:val="20"/>
                <w:szCs w:val="20"/>
              </w:rPr>
              <w:t xml:space="preserve">Distance (per +1 km)</w:t>
            </w:r>
          </w:p>
        </w:tc>
        <w:tc>
          <w:tcPr>
            <w:tcW w:type="dxa" w:w="1500"/>
          </w:tcPr>
          <w:p>
            <w:r>
              <w:rPr>
                <w:sz w:val="20"/>
                <w:szCs w:val="20"/>
              </w:rPr>
              <w:t xml:space="preserve">1.02</w:t>
            </w:r>
          </w:p>
        </w:tc>
        <w:tc>
          <w:tcPr>
            <w:tcW w:type="dxa" w:w="1700"/>
          </w:tcPr>
          <w:p>
            <w:r>
              <w:rPr>
                <w:sz w:val="20"/>
                <w:szCs w:val="20"/>
              </w:rPr>
              <w:t xml:space="preserve">1.01 – 1.03</w:t>
            </w:r>
          </w:p>
        </w:tc>
        <w:tc>
          <w:tcPr>
            <w:tcW w:type="dxa" w:w="1300"/>
          </w:tcPr>
          <w:p>
            <w:r>
              <w:rPr>
                <w:sz w:val="20"/>
                <w:szCs w:val="20"/>
              </w:rPr>
              <w:t xml:space="preserve">&lt;0.001</w:t>
            </w:r>
          </w:p>
        </w:tc>
        <w:tc>
          <w:tcPr>
            <w:tcW w:type="dxa" w:w="3140"/>
          </w:tcPr>
          <w:p>
            <w:r>
              <w:rPr>
                <w:sz w:val="20"/>
                <w:szCs w:val="20"/>
              </w:rPr>
              <w:t xml:space="preserve">Confirmed, small per-km effect</w:t>
            </w:r>
          </w:p>
        </w:tc>
      </w:tr>
      <w:tr>
        <w:tc>
          <w:tcPr>
            <w:tcW w:type="dxa" w:w="2600"/>
          </w:tcPr>
          <w:p>
            <w:r>
              <w:rPr>
                <w:sz w:val="20"/>
                <w:szCs w:val="20"/>
              </w:rPr>
              <w:t xml:space="preserve">Reminder sent (vs not)</w:t>
            </w:r>
          </w:p>
        </w:tc>
        <w:tc>
          <w:tcPr>
            <w:tcW w:type="dxa" w:w="1500"/>
          </w:tcPr>
          <w:p>
            <w:r>
              <w:rPr>
                <w:sz w:val="20"/>
                <w:szCs w:val="20"/>
              </w:rPr>
              <w:t xml:space="preserve">0.84</w:t>
            </w:r>
          </w:p>
        </w:tc>
        <w:tc>
          <w:tcPr>
            <w:tcW w:type="dxa" w:w="1700"/>
          </w:tcPr>
          <w:p>
            <w:r>
              <w:rPr>
                <w:sz w:val="20"/>
                <w:szCs w:val="20"/>
              </w:rPr>
              <w:t xml:space="preserve">0.74 – 0.96</w:t>
            </w:r>
          </w:p>
        </w:tc>
        <w:tc>
          <w:tcPr>
            <w:tcW w:type="dxa" w:w="1300"/>
          </w:tcPr>
          <w:p>
            <w:r>
              <w:rPr>
                <w:sz w:val="20"/>
                <w:szCs w:val="20"/>
              </w:rPr>
              <w:t xml:space="preserve">0.010</w:t>
            </w:r>
          </w:p>
        </w:tc>
        <w:tc>
          <w:tcPr>
            <w:tcW w:type="dxa" w:w="3140"/>
          </w:tcPr>
          <w:p>
            <w:r>
              <w:rPr>
                <w:sz w:val="20"/>
                <w:szCs w:val="20"/>
              </w:rPr>
              <w:t xml:space="preserve">Confirmed protective effect</w:t>
            </w:r>
          </w:p>
        </w:tc>
      </w:tr>
      <w:tr>
        <w:tc>
          <w:tcPr>
            <w:tcW w:type="dxa" w:w="2600"/>
          </w:tcPr>
          <w:p>
            <w:r>
              <w:rPr>
                <w:sz w:val="20"/>
                <w:szCs w:val="20"/>
              </w:rPr>
              <w:t xml:space="preserve">Age group</w:t>
            </w:r>
          </w:p>
        </w:tc>
        <w:tc>
          <w:tcPr>
            <w:tcW w:type="dxa" w:w="1500"/>
          </w:tcPr>
          <w:p>
            <w:r>
              <w:rPr>
                <w:sz w:val="20"/>
                <w:szCs w:val="20"/>
              </w:rPr>
              <w:t xml:space="preserve">n/s</w:t>
            </w:r>
          </w:p>
        </w:tc>
        <w:tc>
          <w:tcPr>
            <w:tcW w:type="dxa" w:w="1700"/>
          </w:tcPr>
          <w:p>
            <w:r>
              <w:rPr>
                <w:sz w:val="20"/>
                <w:szCs w:val="20"/>
              </w:rPr>
              <w:t xml:space="preserve">—</w:t>
            </w:r>
          </w:p>
        </w:tc>
        <w:tc>
          <w:tcPr>
            <w:tcW w:type="dxa" w:w="1300"/>
          </w:tcPr>
          <w:p>
            <w:r>
              <w:rPr>
                <w:sz w:val="20"/>
                <w:szCs w:val="20"/>
              </w:rPr>
              <w:t xml:space="preserve">0.07–0.87</w:t>
            </w:r>
          </w:p>
        </w:tc>
        <w:tc>
          <w:tcPr>
            <w:tcW w:type="dxa" w:w="3140"/>
          </w:tcPr>
          <w:p>
            <w:r>
              <w:rPr>
                <w:sz w:val="20"/>
                <w:szCs w:val="20"/>
              </w:rPr>
              <w:t xml:space="preserve">No group significantly different</w:t>
            </w:r>
          </w:p>
        </w:tc>
      </w:tr>
      <w:tr>
        <w:tc>
          <w:tcPr>
            <w:tcW w:type="dxa" w:w="2600"/>
          </w:tcPr>
          <w:p>
            <w:r>
              <w:rPr>
                <w:sz w:val="20"/>
                <w:szCs w:val="20"/>
              </w:rPr>
              <w:t xml:space="preserve">Appointment type</w:t>
            </w:r>
          </w:p>
        </w:tc>
        <w:tc>
          <w:tcPr>
            <w:tcW w:type="dxa" w:w="1500"/>
          </w:tcPr>
          <w:p>
            <w:r>
              <w:rPr>
                <w:sz w:val="20"/>
                <w:szCs w:val="20"/>
              </w:rPr>
              <w:t xml:space="preserve">n/s</w:t>
            </w:r>
          </w:p>
        </w:tc>
        <w:tc>
          <w:tcPr>
            <w:tcW w:type="dxa" w:w="1700"/>
          </w:tcPr>
          <w:p>
            <w:r>
              <w:rPr>
                <w:sz w:val="20"/>
                <w:szCs w:val="20"/>
              </w:rPr>
              <w:t xml:space="preserve">—</w:t>
            </w:r>
          </w:p>
        </w:tc>
        <w:tc>
          <w:tcPr>
            <w:tcW w:type="dxa" w:w="1300"/>
          </w:tcPr>
          <w:p>
            <w:r>
              <w:rPr>
                <w:sz w:val="20"/>
                <w:szCs w:val="20"/>
              </w:rPr>
              <w:t xml:space="preserve">0.18–0.92</w:t>
            </w:r>
          </w:p>
        </w:tc>
        <w:tc>
          <w:tcPr>
            <w:tcW w:type="dxa" w:w="3140"/>
          </w:tcPr>
          <w:p>
            <w:r>
              <w:rPr>
                <w:sz w:val="20"/>
                <w:szCs w:val="20"/>
              </w:rPr>
              <w:t xml:space="preserve">No type significantly different</w:t>
            </w:r>
          </w:p>
        </w:tc>
      </w:tr>
      <w:tr>
        <w:tc>
          <w:tcPr>
            <w:tcW w:type="dxa" w:w="2600"/>
          </w:tcPr>
          <w:p>
            <w:r>
              <w:rPr>
                <w:sz w:val="20"/>
                <w:szCs w:val="20"/>
              </w:rPr>
              <w:t xml:space="preserve">Gender</w:t>
            </w:r>
          </w:p>
        </w:tc>
        <w:tc>
          <w:tcPr>
            <w:tcW w:type="dxa" w:w="1500"/>
          </w:tcPr>
          <w:p>
            <w:r>
              <w:rPr>
                <w:sz w:val="20"/>
                <w:szCs w:val="20"/>
              </w:rPr>
              <w:t xml:space="preserve">n/s</w:t>
            </w:r>
          </w:p>
        </w:tc>
        <w:tc>
          <w:tcPr>
            <w:tcW w:type="dxa" w:w="1700"/>
          </w:tcPr>
          <w:p>
            <w:r>
              <w:rPr>
                <w:sz w:val="20"/>
                <w:szCs w:val="20"/>
              </w:rPr>
              <w:t xml:space="preserve">—</w:t>
            </w:r>
          </w:p>
        </w:tc>
        <w:tc>
          <w:tcPr>
            <w:tcW w:type="dxa" w:w="1300"/>
          </w:tcPr>
          <w:p>
            <w:r>
              <w:rPr>
                <w:sz w:val="20"/>
                <w:szCs w:val="20"/>
              </w:rPr>
              <w:t xml:space="preserve">0.23–0.86</w:t>
            </w:r>
          </w:p>
        </w:tc>
        <w:tc>
          <w:tcPr>
            <w:tcW w:type="dxa" w:w="3140"/>
          </w:tcPr>
          <w:p>
            <w:r>
              <w:rPr>
                <w:sz w:val="20"/>
                <w:szCs w:val="20"/>
              </w:rPr>
              <w:t xml:space="preserve">No significant difference</w:t>
            </w:r>
          </w:p>
        </w:tc>
      </w:tr>
    </w:tbl>
    <w:p>
      <w:pPr>
        <w:spacing w:after="150"/>
      </w:pPr>
      <w:r>
        <w:rPr>
          <w:i/>
          <w:iCs/>
        </w:rPr>
        <w:t xml:space="preserve">All five Week 5 KPIs survive multivariate control — none of the four significant relationships (lead time, prior no-shows, distance, reminders) were artefacts of confounding by age, gender or appointment type. This is the key Week 6 validation result: the Week 5 findings can be trusted as independent drivers, not proxies for something else.</w:t>
      </w:r>
    </w:p>
    <w:p>
      <w:pPr>
        <w:pStyle w:val="Heading2"/>
        <w:spacing w:after="120" w:before="240"/>
      </w:pPr>
      <w:r>
        <w:t xml:space="preserve">2.2 Effect Size Ranking — Statistically Significant vs. Practically Important</w:t>
      </w:r>
    </w:p>
    <w:p>
      <w:pPr>
        <w:spacing w:after="150"/>
      </w:pPr>
      <w:r>
        <w:t xml:space="preserve">Chi-square tests (Week 5) confirm an association exists; they do not say how large it is. Cramér's V was calculated for each relationship to rank practical importance: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4240"/>
      </w:tblGrid>
      <w:tr>
        <w:trPr>
          <w:tblHeader/>
        </w:trPr>
        <w:tc>
          <w:tcPr>
            <w:tcW w:type="dxa" w:w="4000"/>
            <w:shd w:fill="1F4E79" w:val="clear"/>
          </w:tcPr>
          <w:p>
            <w:r>
              <w:rPr>
                <w:b/>
                <w:bCs/>
                <w:color w:val="FFFFFF"/>
                <w:sz w:val="20"/>
                <w:szCs w:val="20"/>
              </w:rPr>
              <w:t xml:space="preserve">Factor</w:t>
            </w:r>
          </w:p>
        </w:tc>
        <w:tc>
          <w:tcPr>
            <w:tcW w:type="dxa" w:w="2000"/>
            <w:shd w:fill="1F4E79" w:val="clear"/>
          </w:tcPr>
          <w:p>
            <w:r>
              <w:rPr>
                <w:b/>
                <w:bCs/>
                <w:color w:val="FFFFFF"/>
                <w:sz w:val="20"/>
                <w:szCs w:val="20"/>
              </w:rPr>
              <w:t xml:space="preserve">Cramér's V</w:t>
            </w:r>
          </w:p>
        </w:tc>
        <w:tc>
          <w:tcPr>
            <w:tcW w:type="dxa" w:w="4240"/>
            <w:shd w:fill="1F4E79" w:val="clear"/>
          </w:tcPr>
          <w:p>
            <w:r>
              <w:rPr>
                <w:b/>
                <w:bCs/>
                <w:color w:val="FFFFFF"/>
                <w:sz w:val="20"/>
                <w:szCs w:val="20"/>
              </w:rPr>
              <w:t xml:space="preserve">Practical size</w:t>
            </w:r>
          </w:p>
        </w:tc>
      </w:tr>
      <w:tr>
        <w:tc>
          <w:tcPr>
            <w:tcW w:type="dxa" w:w="4000"/>
          </w:tcPr>
          <w:p>
            <w:r>
              <w:rPr>
                <w:sz w:val="20"/>
                <w:szCs w:val="20"/>
              </w:rPr>
              <w:t xml:space="preserve">Booking lead time</w:t>
            </w:r>
          </w:p>
        </w:tc>
        <w:tc>
          <w:tcPr>
            <w:tcW w:type="dxa" w:w="2000"/>
          </w:tcPr>
          <w:p>
            <w:r>
              <w:rPr>
                <w:sz w:val="20"/>
                <w:szCs w:val="20"/>
              </w:rPr>
              <w:t xml:space="preserve">0.184</w:t>
            </w:r>
          </w:p>
        </w:tc>
        <w:tc>
          <w:tcPr>
            <w:tcW w:type="dxa" w:w="4240"/>
          </w:tcPr>
          <w:p>
            <w:r>
              <w:rPr>
                <w:sz w:val="20"/>
                <w:szCs w:val="20"/>
              </w:rPr>
              <w:t xml:space="preserve">Small-to-moderate — the dominant driver</w:t>
            </w:r>
          </w:p>
        </w:tc>
      </w:tr>
      <w:tr>
        <w:tc>
          <w:tcPr>
            <w:tcW w:type="dxa" w:w="4000"/>
          </w:tcPr>
          <w:p>
            <w:r>
              <w:rPr>
                <w:sz w:val="20"/>
                <w:szCs w:val="20"/>
              </w:rPr>
              <w:t xml:space="preserve">Prior no-show count</w:t>
            </w:r>
          </w:p>
        </w:tc>
        <w:tc>
          <w:tcPr>
            <w:tcW w:type="dxa" w:w="2000"/>
          </w:tcPr>
          <w:p>
            <w:r>
              <w:rPr>
                <w:sz w:val="20"/>
                <w:szCs w:val="20"/>
              </w:rPr>
              <w:t xml:space="preserve">0.091</w:t>
            </w:r>
          </w:p>
        </w:tc>
        <w:tc>
          <w:tcPr>
            <w:tcW w:type="dxa" w:w="4240"/>
          </w:tcPr>
          <w:p>
            <w:r>
              <w:rPr>
                <w:sz w:val="20"/>
                <w:szCs w:val="20"/>
              </w:rPr>
              <w:t xml:space="preserve">Small but real</w:t>
            </w:r>
          </w:p>
        </w:tc>
      </w:tr>
      <w:tr>
        <w:tc>
          <w:tcPr>
            <w:tcW w:type="dxa" w:w="4000"/>
          </w:tcPr>
          <w:p>
            <w:r>
              <w:rPr>
                <w:sz w:val="20"/>
                <w:szCs w:val="20"/>
              </w:rPr>
              <w:t xml:space="preserve">Distance to clinic</w:t>
            </w:r>
          </w:p>
        </w:tc>
        <w:tc>
          <w:tcPr>
            <w:tcW w:type="dxa" w:w="2000"/>
          </w:tcPr>
          <w:p>
            <w:r>
              <w:rPr>
                <w:sz w:val="20"/>
                <w:szCs w:val="20"/>
              </w:rPr>
              <w:t xml:space="preserve">0.046</w:t>
            </w:r>
          </w:p>
        </w:tc>
        <w:tc>
          <w:tcPr>
            <w:tcW w:type="dxa" w:w="4240"/>
          </w:tcPr>
          <w:p>
            <w:r>
              <w:rPr>
                <w:sz w:val="20"/>
                <w:szCs w:val="20"/>
              </w:rPr>
              <w:t xml:space="preserve">Small</w:t>
            </w:r>
          </w:p>
        </w:tc>
      </w:tr>
      <w:tr>
        <w:tc>
          <w:tcPr>
            <w:tcW w:type="dxa" w:w="4000"/>
          </w:tcPr>
          <w:p>
            <w:r>
              <w:rPr>
                <w:sz w:val="20"/>
                <w:szCs w:val="20"/>
              </w:rPr>
              <w:t xml:space="preserve">Reminder sent</w:t>
            </w:r>
          </w:p>
        </w:tc>
        <w:tc>
          <w:tcPr>
            <w:tcW w:type="dxa" w:w="2000"/>
          </w:tcPr>
          <w:p>
            <w:r>
              <w:rPr>
                <w:sz w:val="20"/>
                <w:szCs w:val="20"/>
              </w:rPr>
              <w:t xml:space="preserve">0.045</w:t>
            </w:r>
          </w:p>
        </w:tc>
        <w:tc>
          <w:tcPr>
            <w:tcW w:type="dxa" w:w="4240"/>
          </w:tcPr>
          <w:p>
            <w:r>
              <w:rPr>
                <w:sz w:val="20"/>
                <w:szCs w:val="20"/>
              </w:rPr>
              <w:t xml:space="preserve">Small</w:t>
            </w:r>
          </w:p>
        </w:tc>
      </w:tr>
      <w:tr>
        <w:tc>
          <w:tcPr>
            <w:tcW w:type="dxa" w:w="4000"/>
          </w:tcPr>
          <w:p>
            <w:r>
              <w:rPr>
                <w:sz w:val="20"/>
                <w:szCs w:val="20"/>
              </w:rPr>
              <w:t xml:space="preserve">Age group</w:t>
            </w:r>
          </w:p>
        </w:tc>
        <w:tc>
          <w:tcPr>
            <w:tcW w:type="dxa" w:w="2000"/>
          </w:tcPr>
          <w:p>
            <w:r>
              <w:rPr>
                <w:sz w:val="20"/>
                <w:szCs w:val="20"/>
              </w:rPr>
              <w:t xml:space="preserve">0.038</w:t>
            </w:r>
          </w:p>
        </w:tc>
        <w:tc>
          <w:tcPr>
            <w:tcW w:type="dxa" w:w="4240"/>
          </w:tcPr>
          <w:p>
            <w:r>
              <w:rPr>
                <w:sz w:val="20"/>
                <w:szCs w:val="20"/>
              </w:rPr>
              <w:t xml:space="preserve">Negligible (n/s)</w:t>
            </w:r>
          </w:p>
        </w:tc>
      </w:tr>
      <w:tr>
        <w:tc>
          <w:tcPr>
            <w:tcW w:type="dxa" w:w="4000"/>
          </w:tcPr>
          <w:p>
            <w:r>
              <w:rPr>
                <w:sz w:val="20"/>
                <w:szCs w:val="20"/>
              </w:rPr>
              <w:t xml:space="preserve">Appointment type</w:t>
            </w:r>
          </w:p>
        </w:tc>
        <w:tc>
          <w:tcPr>
            <w:tcW w:type="dxa" w:w="2000"/>
          </w:tcPr>
          <w:p>
            <w:r>
              <w:rPr>
                <w:sz w:val="20"/>
                <w:szCs w:val="20"/>
              </w:rPr>
              <w:t xml:space="preserve">0.032</w:t>
            </w:r>
          </w:p>
        </w:tc>
        <w:tc>
          <w:tcPr>
            <w:tcW w:type="dxa" w:w="4240"/>
          </w:tcPr>
          <w:p>
            <w:r>
              <w:rPr>
                <w:sz w:val="20"/>
                <w:szCs w:val="20"/>
              </w:rPr>
              <w:t xml:space="preserve">Negligible (n/s)</w:t>
            </w:r>
          </w:p>
        </w:tc>
      </w:tr>
      <w:tr>
        <w:tc>
          <w:tcPr>
            <w:tcW w:type="dxa" w:w="4000"/>
          </w:tcPr>
          <w:p>
            <w:r>
              <w:rPr>
                <w:sz w:val="20"/>
                <w:szCs w:val="20"/>
              </w:rPr>
              <w:t xml:space="preserve">Gender</w:t>
            </w:r>
          </w:p>
        </w:tc>
        <w:tc>
          <w:tcPr>
            <w:tcW w:type="dxa" w:w="2000"/>
          </w:tcPr>
          <w:p>
            <w:r>
              <w:rPr>
                <w:sz w:val="20"/>
                <w:szCs w:val="20"/>
              </w:rPr>
              <w:t xml:space="preserve">0.018</w:t>
            </w:r>
          </w:p>
        </w:tc>
        <w:tc>
          <w:tcPr>
            <w:tcW w:type="dxa" w:w="4240"/>
          </w:tcPr>
          <w:p>
            <w:r>
              <w:rPr>
                <w:sz w:val="20"/>
                <w:szCs w:val="20"/>
              </w:rPr>
              <w:t xml:space="preserve">Negligible (n/s)</w:t>
            </w:r>
          </w:p>
        </w:tc>
      </w:tr>
    </w:tbl>
    <w:p>
      <w:pPr>
        <w:spacing w:after="150"/>
      </w:pPr>
      <w:r>
        <w:rPr>
          <w:i/>
          <w:iCs/>
        </w:rPr>
        <w:t xml:space="preserve">This revises how Week 5's findings should be prioritised: lead time is not just "the strongest of five factors" — it is in a different tier of practical importance from the other four. Distance and reminders are real, evidence-backed levers, but relatively modest ones; resourcing should weight lead-time-focused interventions most heavily.</w:t>
      </w:r>
    </w:p>
    <w:p>
      <w:pPr>
        <w:pStyle w:val="Heading2"/>
        <w:spacing w:after="120" w:before="240"/>
      </w:pPr>
      <w:r>
        <w:t xml:space="preserve">2.3 Subgroup Consistency — Is the Lead-Time Effect Universal or Segment-Specific?</w:t>
      </w:r>
    </w:p>
    <w:p>
      <w:pPr>
        <w:spacing w:after="150"/>
      </w:pPr>
      <w:r>
        <w:t xml:space="preserve">The lead-time effect was checked across appointment type, age group and gender to confirm it is not being driven by one segment. In every appointment type and every age group, no-show rate rises monotonically from the 0-7 day to the 31-60 day lead-time band (see dashboard, panel 4). The size of the increase varies modestly (e.g. Follow-up appointments rise furthest, from 29.4% to 65.1%), but the direction and general magnitude are consistent throughout. This confirms lead time is a structural, clinic-wide effect rather than a pattern confined to a specific patient or appointment type — reinforcing that a lead-time-based intervention (e.g. re-confirmation calls) would be worth applying broadly rather than to one segment only.</w:t>
      </w:r>
    </w:p>
    <w:p>
      <w:pPr>
        <w:pStyle w:val="Heading2"/>
        <w:spacing w:after="120" w:before="240"/>
      </w:pPr>
      <w:r>
        <w:t xml:space="preserve">2.4 Reminder Channel Effectiveness — A New Cut Not Covered in Week 5</w:t>
      </w:r>
    </w:p>
    <w:p>
      <w:pPr>
        <w:spacing w:after="150"/>
      </w:pPr>
      <w:r>
        <w:t xml:space="preserve">Week 5 only compared "reminder sent" vs. "not sent." Week 6 breaks this down by channel:</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240"/>
      </w:tblGrid>
      <w:tr>
        <w:trPr>
          <w:tblHeader/>
        </w:trPr>
        <w:tc>
          <w:tcPr>
            <w:tcW w:type="dxa" w:w="3500"/>
            <w:shd w:fill="1F4E79" w:val="clear"/>
          </w:tcPr>
          <w:p>
            <w:r>
              <w:rPr>
                <w:b/>
                <w:bCs/>
                <w:color w:val="FFFFFF"/>
                <w:sz w:val="20"/>
                <w:szCs w:val="20"/>
              </w:rPr>
              <w:t xml:space="preserve">Channel</w:t>
            </w:r>
          </w:p>
        </w:tc>
        <w:tc>
          <w:tcPr>
            <w:tcW w:type="dxa" w:w="3500"/>
            <w:shd w:fill="1F4E79" w:val="clear"/>
          </w:tcPr>
          <w:p>
            <w:r>
              <w:rPr>
                <w:b/>
                <w:bCs/>
                <w:color w:val="FFFFFF"/>
                <w:sz w:val="20"/>
                <w:szCs w:val="20"/>
              </w:rPr>
              <w:t xml:space="preserve">No-show rate (all)</w:t>
            </w:r>
          </w:p>
        </w:tc>
        <w:tc>
          <w:tcPr>
            <w:tcW w:type="dxa" w:w="3240"/>
            <w:shd w:fill="1F4E79" w:val="clear"/>
          </w:tcPr>
          <w:p>
            <w:r>
              <w:rPr>
                <w:b/>
                <w:bCs/>
                <w:color w:val="FFFFFF"/>
                <w:sz w:val="20"/>
                <w:szCs w:val="20"/>
              </w:rPr>
              <w:t xml:space="preserve">No-show rate (higher-risk patients)</w:t>
            </w:r>
          </w:p>
        </w:tc>
      </w:tr>
      <w:tr>
        <w:tc>
          <w:tcPr>
            <w:tcW w:type="dxa" w:w="3500"/>
          </w:tcPr>
          <w:p>
            <w:r>
              <w:rPr>
                <w:sz w:val="20"/>
                <w:szCs w:val="20"/>
              </w:rPr>
              <w:t xml:space="preserve">SMS</w:t>
            </w:r>
          </w:p>
        </w:tc>
        <w:tc>
          <w:tcPr>
            <w:tcW w:type="dxa" w:w="3500"/>
          </w:tcPr>
          <w:p>
            <w:r>
              <w:rPr>
                <w:sz w:val="20"/>
                <w:szCs w:val="20"/>
              </w:rPr>
              <w:t xml:space="preserve">45.8%</w:t>
            </w:r>
          </w:p>
        </w:tc>
        <w:tc>
          <w:tcPr>
            <w:tcW w:type="dxa" w:w="3240"/>
          </w:tcPr>
          <w:p>
            <w:r>
              <w:rPr>
                <w:sz w:val="20"/>
                <w:szCs w:val="20"/>
              </w:rPr>
              <w:t xml:space="preserve">56.2%</w:t>
            </w:r>
          </w:p>
        </w:tc>
      </w:tr>
      <w:tr>
        <w:tc>
          <w:tcPr>
            <w:tcW w:type="dxa" w:w="3500"/>
          </w:tcPr>
          <w:p>
            <w:r>
              <w:rPr>
                <w:sz w:val="20"/>
                <w:szCs w:val="20"/>
              </w:rPr>
              <w:t xml:space="preserve">Email</w:t>
            </w:r>
          </w:p>
        </w:tc>
        <w:tc>
          <w:tcPr>
            <w:tcW w:type="dxa" w:w="3500"/>
          </w:tcPr>
          <w:p>
            <w:r>
              <w:rPr>
                <w:sz w:val="20"/>
                <w:szCs w:val="20"/>
              </w:rPr>
              <w:t xml:space="preserve">48.4%</w:t>
            </w:r>
          </w:p>
        </w:tc>
        <w:tc>
          <w:tcPr>
            <w:tcW w:type="dxa" w:w="3240"/>
          </w:tcPr>
          <w:p>
            <w:r>
              <w:rPr>
                <w:sz w:val="20"/>
                <w:szCs w:val="20"/>
              </w:rPr>
              <w:t xml:space="preserve">57.6%</w:t>
            </w:r>
          </w:p>
        </w:tc>
      </w:tr>
      <w:tr>
        <w:tc>
          <w:tcPr>
            <w:tcW w:type="dxa" w:w="3500"/>
          </w:tcPr>
          <w:p>
            <w:r>
              <w:rPr>
                <w:sz w:val="20"/>
                <w:szCs w:val="20"/>
              </w:rPr>
              <w:t xml:space="preserve">WhatsApp</w:t>
            </w:r>
          </w:p>
        </w:tc>
        <w:tc>
          <w:tcPr>
            <w:tcW w:type="dxa" w:w="3500"/>
          </w:tcPr>
          <w:p>
            <w:r>
              <w:rPr>
                <w:sz w:val="20"/>
                <w:szCs w:val="20"/>
              </w:rPr>
              <w:t xml:space="preserve">49.8%</w:t>
            </w:r>
          </w:p>
        </w:tc>
        <w:tc>
          <w:tcPr>
            <w:tcW w:type="dxa" w:w="3240"/>
          </w:tcPr>
          <w:p>
            <w:r>
              <w:rPr>
                <w:sz w:val="20"/>
                <w:szCs w:val="20"/>
              </w:rPr>
              <w:t xml:space="preserve">61.4%</w:t>
            </w:r>
          </w:p>
        </w:tc>
      </w:tr>
    </w:tbl>
    <w:p>
      <w:pPr>
        <w:spacing w:after="150"/>
      </w:pPr>
      <w:r>
        <w:rPr>
          <w:i/>
          <w:iCs/>
        </w:rPr>
        <w:t xml:space="preserve">SMS is the most effective channel overall and remains the most effective for higher-risk patients specifically, while WhatsApp performs worst in both groups. This refines Recommendation 3 (Section 5): reminder strategy should shift not only toward higher-risk patients, but specifically toward SMS as the default channel for that group.</w:t>
      </w:r>
    </w:p>
    <w:p>
      <w:pPr>
        <w:pStyle w:val="Heading2"/>
        <w:spacing w:after="120" w:before="240"/>
      </w:pPr>
      <w:r>
        <w:t xml:space="preserve">2.5 Sunday-Anomaly Sensitivity Check</w:t>
      </w:r>
    </w:p>
    <w:p>
      <w:pPr>
        <w:spacing w:after="150"/>
      </w:pPr>
      <w:r>
        <w:t xml:space="preserve">The 737 Sunday appointment records (14.7% of the dataset) conflict with the Knowledge Base's stated Sunday closure and were flagged, unresolved, in both Week 4 and Week 5. To check whether this anomaly was distorting the core findings, all KPIs were recalculated with Sunday records excluded (n=4,263).</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2000"/>
        <w:gridCol w:w="2040"/>
      </w:tblGrid>
      <w:tr>
        <w:trPr>
          <w:tblHeader/>
        </w:trPr>
        <w:tc>
          <w:tcPr>
            <w:tcW w:type="dxa" w:w="4200"/>
            <w:shd w:fill="1F4E79" w:val="clear"/>
          </w:tcPr>
          <w:p>
            <w:r>
              <w:rPr>
                <w:b/>
                <w:bCs/>
                <w:color w:val="FFFFFF"/>
                <w:sz w:val="20"/>
                <w:szCs w:val="20"/>
              </w:rPr>
              <w:t xml:space="preserve">Metric</w:t>
            </w:r>
          </w:p>
        </w:tc>
        <w:tc>
          <w:tcPr>
            <w:tcW w:type="dxa" w:w="2000"/>
            <w:shd w:fill="1F4E79" w:val="clear"/>
          </w:tcPr>
          <w:p>
            <w:r>
              <w:rPr>
                <w:b/>
                <w:bCs/>
                <w:color w:val="FFFFFF"/>
                <w:sz w:val="20"/>
                <w:szCs w:val="20"/>
              </w:rPr>
              <w:t xml:space="preserve">Full data</w:t>
            </w:r>
          </w:p>
        </w:tc>
        <w:tc>
          <w:tcPr>
            <w:tcW w:type="dxa" w:w="2000"/>
            <w:shd w:fill="1F4E79" w:val="clear"/>
          </w:tcPr>
          <w:p>
            <w:r>
              <w:rPr>
                <w:b/>
                <w:bCs/>
                <w:color w:val="FFFFFF"/>
                <w:sz w:val="20"/>
                <w:szCs w:val="20"/>
              </w:rPr>
              <w:t xml:space="preserve">Excl. Sunday</w:t>
            </w:r>
          </w:p>
        </w:tc>
        <w:tc>
          <w:tcPr>
            <w:tcW w:type="dxa" w:w="2040"/>
            <w:shd w:fill="1F4E79" w:val="clear"/>
          </w:tcPr>
          <w:p>
            <w:r>
              <w:rPr>
                <w:b/>
                <w:bCs/>
                <w:color w:val="FFFFFF"/>
                <w:sz w:val="20"/>
                <w:szCs w:val="20"/>
              </w:rPr>
              <w:t xml:space="preserve">Change</w:t>
            </w:r>
          </w:p>
        </w:tc>
      </w:tr>
      <w:tr>
        <w:tc>
          <w:tcPr>
            <w:tcW w:type="dxa" w:w="4200"/>
          </w:tcPr>
          <w:p>
            <w:r>
              <w:rPr>
                <w:sz w:val="20"/>
                <w:szCs w:val="20"/>
              </w:rPr>
              <w:t xml:space="preserve">Overall no-show rate</w:t>
            </w:r>
          </w:p>
        </w:tc>
        <w:tc>
          <w:tcPr>
            <w:tcW w:type="dxa" w:w="2000"/>
          </w:tcPr>
          <w:p>
            <w:r>
              <w:rPr>
                <w:sz w:val="20"/>
                <w:szCs w:val="20"/>
              </w:rPr>
              <w:t xml:space="preserve">48.46%</w:t>
            </w:r>
          </w:p>
        </w:tc>
        <w:tc>
          <w:tcPr>
            <w:tcW w:type="dxa" w:w="2000"/>
          </w:tcPr>
          <w:p>
            <w:r>
              <w:rPr>
                <w:sz w:val="20"/>
                <w:szCs w:val="20"/>
              </w:rPr>
              <w:t xml:space="preserve">48.11%</w:t>
            </w:r>
          </w:p>
        </w:tc>
        <w:tc>
          <w:tcPr>
            <w:tcW w:type="dxa" w:w="2040"/>
          </w:tcPr>
          <w:p>
            <w:r>
              <w:rPr>
                <w:sz w:val="20"/>
                <w:szCs w:val="20"/>
              </w:rPr>
              <w:t xml:space="preserve">Negligible</w:t>
            </w:r>
          </w:p>
        </w:tc>
      </w:tr>
      <w:tr>
        <w:tc>
          <w:tcPr>
            <w:tcW w:type="dxa" w:w="4200"/>
          </w:tcPr>
          <w:p>
            <w:r>
              <w:rPr>
                <w:sz w:val="20"/>
                <w:szCs w:val="20"/>
              </w:rPr>
              <w:t xml:space="preserve">No-show rate, 31-60d lead time</w:t>
            </w:r>
          </w:p>
        </w:tc>
        <w:tc>
          <w:tcPr>
            <w:tcW w:type="dxa" w:w="2000"/>
          </w:tcPr>
          <w:p>
            <w:r>
              <w:rPr>
                <w:sz w:val="20"/>
                <w:szCs w:val="20"/>
              </w:rPr>
              <w:t xml:space="preserve">60.5%</w:t>
            </w:r>
          </w:p>
        </w:tc>
        <w:tc>
          <w:tcPr>
            <w:tcW w:type="dxa" w:w="2000"/>
          </w:tcPr>
          <w:p>
            <w:r>
              <w:rPr>
                <w:sz w:val="20"/>
                <w:szCs w:val="20"/>
              </w:rPr>
              <w:t xml:space="preserve">60.2%</w:t>
            </w:r>
          </w:p>
        </w:tc>
        <w:tc>
          <w:tcPr>
            <w:tcW w:type="dxa" w:w="2040"/>
          </w:tcPr>
          <w:p>
            <w:r>
              <w:rPr>
                <w:sz w:val="20"/>
                <w:szCs w:val="20"/>
              </w:rPr>
              <w:t xml:space="preserve">Negligible</w:t>
            </w:r>
          </w:p>
        </w:tc>
      </w:tr>
      <w:tr>
        <w:tc>
          <w:tcPr>
            <w:tcW w:type="dxa" w:w="4200"/>
          </w:tcPr>
          <w:p>
            <w:r>
              <w:rPr>
                <w:sz w:val="20"/>
                <w:szCs w:val="20"/>
              </w:rPr>
              <w:t xml:space="preserve">No-show rate, 3+ prior no-shows</w:t>
            </w:r>
          </w:p>
        </w:tc>
        <w:tc>
          <w:tcPr>
            <w:tcW w:type="dxa" w:w="2000"/>
          </w:tcPr>
          <w:p>
            <w:r>
              <w:rPr>
                <w:sz w:val="20"/>
                <w:szCs w:val="20"/>
              </w:rPr>
              <w:t xml:space="preserve">68.8%</w:t>
            </w:r>
          </w:p>
        </w:tc>
        <w:tc>
          <w:tcPr>
            <w:tcW w:type="dxa" w:w="2000"/>
          </w:tcPr>
          <w:p>
            <w:r>
              <w:rPr>
                <w:sz w:val="20"/>
                <w:szCs w:val="20"/>
              </w:rPr>
              <w:t xml:space="preserve">70.4%</w:t>
            </w:r>
          </w:p>
        </w:tc>
        <w:tc>
          <w:tcPr>
            <w:tcW w:type="dxa" w:w="2040"/>
          </w:tcPr>
          <w:p>
            <w:r>
              <w:rPr>
                <w:sz w:val="20"/>
                <w:szCs w:val="20"/>
              </w:rPr>
              <w:t xml:space="preserve">Negligible (+1.6pp)</w:t>
            </w:r>
          </w:p>
        </w:tc>
      </w:tr>
      <w:tr>
        <w:tc>
          <w:tcPr>
            <w:tcW w:type="dxa" w:w="4200"/>
          </w:tcPr>
          <w:p>
            <w:r>
              <w:rPr>
                <w:sz w:val="20"/>
                <w:szCs w:val="20"/>
              </w:rPr>
              <w:t xml:space="preserve">No-show rate, 20km+ distance</w:t>
            </w:r>
          </w:p>
        </w:tc>
        <w:tc>
          <w:tcPr>
            <w:tcW w:type="dxa" w:w="2000"/>
          </w:tcPr>
          <w:p>
            <w:r>
              <w:rPr>
                <w:sz w:val="20"/>
                <w:szCs w:val="20"/>
              </w:rPr>
              <w:t xml:space="preserve">57.8%</w:t>
            </w:r>
          </w:p>
        </w:tc>
        <w:tc>
          <w:tcPr>
            <w:tcW w:type="dxa" w:w="2000"/>
          </w:tcPr>
          <w:p>
            <w:r>
              <w:rPr>
                <w:sz w:val="20"/>
                <w:szCs w:val="20"/>
              </w:rPr>
              <w:t xml:space="preserve">57.1%</w:t>
            </w:r>
          </w:p>
        </w:tc>
        <w:tc>
          <w:tcPr>
            <w:tcW w:type="dxa" w:w="2040"/>
          </w:tcPr>
          <w:p>
            <w:r>
              <w:rPr>
                <w:sz w:val="20"/>
                <w:szCs w:val="20"/>
              </w:rPr>
              <w:t xml:space="preserve">Negligible</w:t>
            </w:r>
          </w:p>
        </w:tc>
      </w:tr>
    </w:tbl>
    <w:p>
      <w:pPr>
        <w:spacing w:after="150"/>
      </w:pPr>
      <w:r>
        <w:rPr>
          <w:i/>
          <w:iCs/>
        </w:rPr>
        <w:t xml:space="preserve">None of the core findings change meaningfully with or without the Sunday records. This resolves the analytical concern carried forward from Week 4/5: the Sunday anomaly is a data-quality question worth escalating to stakeholders, but it is not distorting any of the reported KPIs or recommendations, and no correction to this analysis is required.</w:t>
      </w:r>
    </w:p>
    <w:p>
      <w:pPr>
        <w:pStyle w:val="Heading2"/>
        <w:spacing w:after="120" w:before="240"/>
      </w:pPr>
      <w:r>
        <w:t xml:space="preserve">2.6 Cancellation Deep Dive</w:t>
      </w:r>
    </w:p>
    <w:p>
      <w:pPr>
        <w:spacing w:after="150"/>
      </w:pPr>
      <w:r>
        <w:t xml:space="preserve">Week 5 flagged the cancellation population (5.3% of appointments) as a candidate for future investigation. That investigation was brought forward into Week 6:</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3040"/>
      </w:tblGrid>
      <w:tr>
        <w:trPr>
          <w:tblHeader/>
        </w:trPr>
        <w:tc>
          <w:tcPr>
            <w:tcW w:type="dxa" w:w="4200"/>
            <w:shd w:fill="1F4E79" w:val="clear"/>
          </w:tcPr>
          <w:p>
            <w:r>
              <w:rPr>
                <w:b/>
                <w:bCs/>
                <w:color w:val="FFFFFF"/>
                <w:sz w:val="20"/>
                <w:szCs w:val="20"/>
              </w:rPr>
              <w:t xml:space="preserve">Characteristic</w:t>
            </w:r>
          </w:p>
        </w:tc>
        <w:tc>
          <w:tcPr>
            <w:tcW w:type="dxa" w:w="3000"/>
            <w:shd w:fill="1F4E79" w:val="clear"/>
          </w:tcPr>
          <w:p>
            <w:r>
              <w:rPr>
                <w:b/>
                <w:bCs/>
                <w:color w:val="FFFFFF"/>
                <w:sz w:val="20"/>
                <w:szCs w:val="20"/>
              </w:rPr>
              <w:t xml:space="preserve">Cancelled</w:t>
            </w:r>
          </w:p>
        </w:tc>
        <w:tc>
          <w:tcPr>
            <w:tcW w:type="dxa" w:w="3040"/>
            <w:shd w:fill="1F4E79" w:val="clear"/>
          </w:tcPr>
          <w:p>
            <w:r>
              <w:rPr>
                <w:b/>
                <w:bCs/>
                <w:color w:val="FFFFFF"/>
                <w:sz w:val="20"/>
                <w:szCs w:val="20"/>
              </w:rPr>
              <w:t xml:space="preserve">No-Show</w:t>
            </w:r>
          </w:p>
        </w:tc>
      </w:tr>
      <w:tr>
        <w:tc>
          <w:tcPr>
            <w:tcW w:type="dxa" w:w="4200"/>
          </w:tcPr>
          <w:p>
            <w:r>
              <w:rPr>
                <w:sz w:val="20"/>
                <w:szCs w:val="20"/>
              </w:rPr>
              <w:t xml:space="preserve">Average booking lead time</w:t>
            </w:r>
          </w:p>
        </w:tc>
        <w:tc>
          <w:tcPr>
            <w:tcW w:type="dxa" w:w="3000"/>
          </w:tcPr>
          <w:p>
            <w:r>
              <w:rPr>
                <w:sz w:val="20"/>
                <w:szCs w:val="20"/>
              </w:rPr>
              <w:t xml:space="preserve">29.6 days</w:t>
            </w:r>
          </w:p>
        </w:tc>
        <w:tc>
          <w:tcPr>
            <w:tcW w:type="dxa" w:w="3040"/>
          </w:tcPr>
          <w:p>
            <w:r>
              <w:rPr>
                <w:sz w:val="20"/>
                <w:szCs w:val="20"/>
              </w:rPr>
              <w:t xml:space="preserve">34.5 days</w:t>
            </w:r>
          </w:p>
        </w:tc>
      </w:tr>
      <w:tr>
        <w:tc>
          <w:tcPr>
            <w:tcW w:type="dxa" w:w="4200"/>
          </w:tcPr>
          <w:p>
            <w:r>
              <w:rPr>
                <w:sz w:val="20"/>
                <w:szCs w:val="20"/>
              </w:rPr>
              <w:t xml:space="preserve">Reminder sent rate</w:t>
            </w:r>
          </w:p>
        </w:tc>
        <w:tc>
          <w:tcPr>
            <w:tcW w:type="dxa" w:w="3000"/>
          </w:tcPr>
          <w:p>
            <w:r>
              <w:rPr>
                <w:sz w:val="20"/>
                <w:szCs w:val="20"/>
              </w:rPr>
              <w:t xml:space="preserve">69.2%</w:t>
            </w:r>
          </w:p>
        </w:tc>
        <w:tc>
          <w:tcPr>
            <w:tcW w:type="dxa" w:w="3040"/>
          </w:tcPr>
          <w:p>
            <w:r>
              <w:rPr>
                <w:sz w:val="20"/>
                <w:szCs w:val="20"/>
              </w:rPr>
              <w:t xml:space="preserve">71.0%</w:t>
            </w:r>
          </w:p>
        </w:tc>
      </w:tr>
      <w:tr>
        <w:tc>
          <w:tcPr>
            <w:tcW w:type="dxa" w:w="4200"/>
          </w:tcPr>
          <w:p>
            <w:r>
              <w:rPr>
                <w:sz w:val="20"/>
                <w:szCs w:val="20"/>
              </w:rPr>
              <w:t xml:space="preserve">Higher-risk tier share</w:t>
            </w:r>
          </w:p>
        </w:tc>
        <w:tc>
          <w:tcPr>
            <w:tcW w:type="dxa" w:w="3000"/>
          </w:tcPr>
          <w:p>
            <w:r>
              <w:rPr>
                <w:sz w:val="20"/>
                <w:szCs w:val="20"/>
              </w:rPr>
              <w:t xml:space="preserve">8.0%</w:t>
            </w:r>
          </w:p>
        </w:tc>
        <w:tc>
          <w:tcPr>
            <w:tcW w:type="dxa" w:w="3040"/>
          </w:tcPr>
          <w:p>
            <w:r>
              <w:rPr>
                <w:sz w:val="20"/>
                <w:szCs w:val="20"/>
              </w:rPr>
              <w:t xml:space="preserve">13.4%</w:t>
            </w:r>
          </w:p>
        </w:tc>
      </w:tr>
    </w:tbl>
    <w:p>
      <w:pPr>
        <w:spacing w:after="150"/>
      </w:pPr>
      <w:r>
        <w:rPr>
          <w:i/>
          <w:iCs/>
        </w:rPr>
        <w:t xml:space="preserve">Cancellations and no-shows are not the same population wearing different labels: cancelled patients have a somewhat shorter average lead time and are noticeably less likely to be in the higher-risk tier than no-show patients. This suggests cancellations are more often genuine schedule conflicts from otherwise reliable patients, while no-shows are more concentrated among patients already flagged as higher-risk. Because reminder-sent rates are nearly identical between the two groups (69.2% vs 71.0%), reminders alone do not appear to differentiate a cancellation from a no-show outcome — rebooking-focused interventions (e.g. an easy self-service reschedule link) may be more relevant to the cancellation population than the no-show-focused interventions recommended in Section 5.</w:t>
      </w:r>
    </w:p>
    <w:p>
      <w:pPr>
        <w:pStyle w:val="Heading1"/>
        <w:spacing w:after="150" w:before="300"/>
      </w:pPr>
      <w:r>
        <w:t xml:space="preserve">3. KPI Validation Summary</w:t>
      </w:r>
    </w:p>
    <w:p>
      <w:pPr>
        <w:spacing w:after="150"/>
      </w:pPr>
      <w:r>
        <w:t xml:space="preserve">All five Week 5 KPIs are reconfirmed, with validation status and refinements from this week's deeper analysis: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500"/>
        <w:gridCol w:w="3640"/>
      </w:tblGrid>
      <w:tr>
        <w:trPr>
          <w:tblHeader/>
        </w:trPr>
        <w:tc>
          <w:tcPr>
            <w:tcW w:type="dxa" w:w="500"/>
            <w:shd w:fill="1F4E79" w:val="clear"/>
          </w:tcPr>
          <w:p>
            <w:r>
              <w:rPr>
                <w:b/>
                <w:bCs/>
                <w:color w:val="FFFFFF"/>
                <w:sz w:val="20"/>
                <w:szCs w:val="20"/>
              </w:rPr>
              <w:t xml:space="preserve">#</w:t>
            </w:r>
          </w:p>
        </w:tc>
        <w:tc>
          <w:tcPr>
            <w:tcW w:type="dxa" w:w="2600"/>
            <w:shd w:fill="1F4E79" w:val="clear"/>
          </w:tcPr>
          <w:p>
            <w:r>
              <w:rPr>
                <w:b/>
                <w:bCs/>
                <w:color w:val="FFFFFF"/>
                <w:sz w:val="20"/>
                <w:szCs w:val="20"/>
              </w:rPr>
              <w:t xml:space="preserve">KPI</w:t>
            </w:r>
          </w:p>
        </w:tc>
        <w:tc>
          <w:tcPr>
            <w:tcW w:type="dxa" w:w="2500"/>
            <w:shd w:fill="1F4E79" w:val="clear"/>
          </w:tcPr>
          <w:p>
            <w:r>
              <w:rPr>
                <w:b/>
                <w:bCs/>
                <w:color w:val="FFFFFF"/>
                <w:sz w:val="20"/>
                <w:szCs w:val="20"/>
              </w:rPr>
              <w:t xml:space="preserve">Week 5 result</w:t>
            </w:r>
          </w:p>
        </w:tc>
        <w:tc>
          <w:tcPr>
            <w:tcW w:type="dxa" w:w="3640"/>
            <w:shd w:fill="1F4E79" w:val="clear"/>
          </w:tcPr>
          <w:p>
            <w:r>
              <w:rPr>
                <w:b/>
                <w:bCs/>
                <w:color w:val="FFFFFF"/>
                <w:sz w:val="20"/>
                <w:szCs w:val="20"/>
              </w:rPr>
              <w:t xml:space="preserve">Week 6 validation status</w:t>
            </w:r>
          </w:p>
        </w:tc>
      </w:tr>
      <w:tr>
        <w:tc>
          <w:tcPr>
            <w:tcW w:type="dxa" w:w="500"/>
          </w:tcPr>
          <w:p>
            <w:r>
              <w:rPr>
                <w:sz w:val="20"/>
                <w:szCs w:val="20"/>
              </w:rPr>
              <w:t xml:space="preserve">1</w:t>
            </w:r>
          </w:p>
        </w:tc>
        <w:tc>
          <w:tcPr>
            <w:tcW w:type="dxa" w:w="2600"/>
          </w:tcPr>
          <w:p>
            <w:r>
              <w:rPr>
                <w:sz w:val="20"/>
                <w:szCs w:val="20"/>
              </w:rPr>
              <w:t xml:space="preserve">Overall No-Show Rate</w:t>
            </w:r>
          </w:p>
        </w:tc>
        <w:tc>
          <w:tcPr>
            <w:tcW w:type="dxa" w:w="2500"/>
          </w:tcPr>
          <w:p>
            <w:r>
              <w:rPr>
                <w:sz w:val="20"/>
                <w:szCs w:val="20"/>
              </w:rPr>
              <w:t xml:space="preserve">48.46%</w:t>
            </w:r>
          </w:p>
        </w:tc>
        <w:tc>
          <w:tcPr>
            <w:tcW w:type="dxa" w:w="3640"/>
          </w:tcPr>
          <w:p>
            <w:r>
              <w:rPr>
                <w:sz w:val="20"/>
                <w:szCs w:val="20"/>
              </w:rPr>
              <w:t xml:space="preserve">Unchanged; confirmed stable (48.11% excl. Sunday)</w:t>
            </w:r>
          </w:p>
        </w:tc>
      </w:tr>
      <w:tr>
        <w:tc>
          <w:tcPr>
            <w:tcW w:type="dxa" w:w="500"/>
          </w:tcPr>
          <w:p>
            <w:r>
              <w:rPr>
                <w:sz w:val="20"/>
                <w:szCs w:val="20"/>
              </w:rPr>
              <w:t xml:space="preserve">2</w:t>
            </w:r>
          </w:p>
        </w:tc>
        <w:tc>
          <w:tcPr>
            <w:tcW w:type="dxa" w:w="2600"/>
          </w:tcPr>
          <w:p>
            <w:r>
              <w:rPr>
                <w:sz w:val="20"/>
                <w:szCs w:val="20"/>
              </w:rPr>
              <w:t xml:space="preserve">No-Show Rate by Lead Time</w:t>
            </w:r>
          </w:p>
        </w:tc>
        <w:tc>
          <w:tcPr>
            <w:tcW w:type="dxa" w:w="2500"/>
          </w:tcPr>
          <w:p>
            <w:r>
              <w:rPr>
                <w:sz w:val="20"/>
                <w:szCs w:val="20"/>
              </w:rPr>
              <w:t xml:space="preserve">27.8% → 60.5%</w:t>
            </w:r>
          </w:p>
        </w:tc>
        <w:tc>
          <w:tcPr>
            <w:tcW w:type="dxa" w:w="3640"/>
          </w:tcPr>
          <w:p>
            <w:r>
              <w:rPr>
                <w:sz w:val="20"/>
                <w:szCs w:val="20"/>
              </w:rPr>
              <w:t xml:space="preserve">VALIDATED — largest effect size (V=0.184); OR 4.24 after multivariate control; consistent across all segments</w:t>
            </w:r>
          </w:p>
        </w:tc>
      </w:tr>
      <w:tr>
        <w:tc>
          <w:tcPr>
            <w:tcW w:type="dxa" w:w="500"/>
          </w:tcPr>
          <w:p>
            <w:r>
              <w:rPr>
                <w:sz w:val="20"/>
                <w:szCs w:val="20"/>
              </w:rPr>
              <w:t xml:space="preserve">3</w:t>
            </w:r>
          </w:p>
        </w:tc>
        <w:tc>
          <w:tcPr>
            <w:tcW w:type="dxa" w:w="2600"/>
          </w:tcPr>
          <w:p>
            <w:r>
              <w:rPr>
                <w:sz w:val="20"/>
                <w:szCs w:val="20"/>
              </w:rPr>
              <w:t xml:space="preserve">No-Show Rate by Prior No-Shows</w:t>
            </w:r>
          </w:p>
        </w:tc>
        <w:tc>
          <w:tcPr>
            <w:tcW w:type="dxa" w:w="2500"/>
          </w:tcPr>
          <w:p>
            <w:r>
              <w:rPr>
                <w:sz w:val="20"/>
                <w:szCs w:val="20"/>
              </w:rPr>
              <w:t xml:space="preserve">43.5% → 68.8%</w:t>
            </w:r>
          </w:p>
        </w:tc>
        <w:tc>
          <w:tcPr>
            <w:tcW w:type="dxa" w:w="3640"/>
          </w:tcPr>
          <w:p>
            <w:r>
              <w:rPr>
                <w:sz w:val="20"/>
                <w:szCs w:val="20"/>
              </w:rPr>
              <w:t xml:space="preserve">VALIDATED — second-largest effect (V=0.091); OR 3.33 after control</w:t>
            </w:r>
          </w:p>
        </w:tc>
      </w:tr>
      <w:tr>
        <w:tc>
          <w:tcPr>
            <w:tcW w:type="dxa" w:w="500"/>
          </w:tcPr>
          <w:p>
            <w:r>
              <w:rPr>
                <w:sz w:val="20"/>
                <w:szCs w:val="20"/>
              </w:rPr>
              <w:t xml:space="preserve">4</w:t>
            </w:r>
          </w:p>
        </w:tc>
        <w:tc>
          <w:tcPr>
            <w:tcW w:type="dxa" w:w="2600"/>
          </w:tcPr>
          <w:p>
            <w:r>
              <w:rPr>
                <w:sz w:val="20"/>
                <w:szCs w:val="20"/>
              </w:rPr>
              <w:t xml:space="preserve">Reminder Effectiveness Rate</w:t>
            </w:r>
          </w:p>
        </w:tc>
        <w:tc>
          <w:tcPr>
            <w:tcW w:type="dxa" w:w="2500"/>
          </w:tcPr>
          <w:p>
            <w:r>
              <w:rPr>
                <w:sz w:val="20"/>
                <w:szCs w:val="20"/>
              </w:rPr>
              <w:t xml:space="preserve">47.4% vs 51.4%</w:t>
            </w:r>
          </w:p>
        </w:tc>
        <w:tc>
          <w:tcPr>
            <w:tcW w:type="dxa" w:w="3640"/>
          </w:tcPr>
          <w:p>
            <w:r>
              <w:rPr>
                <w:sz w:val="20"/>
                <w:szCs w:val="20"/>
              </w:rPr>
              <w:t xml:space="preserve">VALIDATED and REFINED — OR 0.84 after control; SMS is the most effective channel, especially for higher-risk patients</w:t>
            </w:r>
          </w:p>
        </w:tc>
      </w:tr>
      <w:tr>
        <w:tc>
          <w:tcPr>
            <w:tcW w:type="dxa" w:w="500"/>
          </w:tcPr>
          <w:p>
            <w:r>
              <w:rPr>
                <w:sz w:val="20"/>
                <w:szCs w:val="20"/>
              </w:rPr>
              <w:t xml:space="preserve">5</w:t>
            </w:r>
          </w:p>
        </w:tc>
        <w:tc>
          <w:tcPr>
            <w:tcW w:type="dxa" w:w="2600"/>
          </w:tcPr>
          <w:p>
            <w:r>
              <w:rPr>
                <w:sz w:val="20"/>
                <w:szCs w:val="20"/>
              </w:rPr>
              <w:t xml:space="preserve">No-Show Rate by Distance Band</w:t>
            </w:r>
          </w:p>
        </w:tc>
        <w:tc>
          <w:tcPr>
            <w:tcW w:type="dxa" w:w="2500"/>
          </w:tcPr>
          <w:p>
            <w:r>
              <w:rPr>
                <w:sz w:val="20"/>
                <w:szCs w:val="20"/>
              </w:rPr>
              <w:t xml:space="preserve">46-47% → 57.8%</w:t>
            </w:r>
          </w:p>
        </w:tc>
        <w:tc>
          <w:tcPr>
            <w:tcW w:type="dxa" w:w="3640"/>
          </w:tcPr>
          <w:p>
            <w:r>
              <w:rPr>
                <w:sz w:val="20"/>
                <w:szCs w:val="20"/>
              </w:rPr>
              <w:t xml:space="preserve">VALIDATED — smallest of the four significant effects (V=0.046); OR 1.02/km after control</w:t>
            </w:r>
          </w:p>
        </w:tc>
      </w:tr>
    </w:tbl>
    <w:p>
      <w:pPr>
        <w:pStyle w:val="Heading1"/>
        <w:spacing w:after="150" w:before="300"/>
      </w:pPr>
      <w:r>
        <w:t xml:space="preserve">4. Updated Dashboard</w:t>
      </w:r>
    </w:p>
    <w:p>
      <w:pPr>
        <w:spacing w:after="150"/>
      </w:pPr>
      <w:r>
        <w:t xml:space="preserve">The dashboard below adds six new panels to the Week 5 view: effect-size ranking, validated multivariate drivers, reminder-channel effectiveness by risk tier, lead-time consistency across appointment types, the Sunday-anomaly sensitivity check, and the cancellation-vs-no-show profile comparison.</w:t>
      </w:r>
    </w:p>
    <w:p>
      <w:pPr>
        <w:spacing w:after="200"/>
        <w:jc w:val="center"/>
      </w:pPr>
      <w:r>
        <w:drawing>
          <wp:inline distT="0" distB="0" distL="0" distR="0">
            <wp:extent cx="5905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76600"/>
                    </a:xfrm>
                    <a:prstGeom prst="rect">
                      <a:avLst/>
                    </a:prstGeom>
                  </pic:spPr>
                </pic:pic>
              </a:graphicData>
            </a:graphic>
          </wp:inline>
        </w:drawing>
      </w:r>
    </w:p>
    <w:p>
      <w:pPr>
        <w:pStyle w:val="Heading1"/>
        <w:spacing w:after="150" w:before="300"/>
      </w:pPr>
      <w:r>
        <w:t xml:space="preserve">5. Refined Business Insights &amp; Recommendations</w:t>
      </w:r>
    </w:p>
    <w:p>
      <w:pPr>
        <w:pStyle w:val="Heading2"/>
        <w:spacing w:after="120" w:before="240"/>
      </w:pPr>
      <w:r>
        <w:t xml:space="preserve">Refined Insights</w:t>
      </w:r>
    </w:p>
    <w:p>
      <w:pPr>
        <w:pStyle w:val="ListParagraph"/>
        <w:numPr>
          <w:ilvl w:val="0"/>
          <w:numId w:val="1"/>
        </w:numPr>
        <w:spacing w:after="80"/>
      </w:pPr>
      <w:r>
        <w:t xml:space="preserve">Lead time is not just the strongest driver — it operates in a different tier of practical importance (Cramér's V = 0.184) from every other factor, and its effect is confirmed independent of confounding and consistent across every appointment type and age group.</w:t>
      </w:r>
    </w:p>
    <w:p>
      <w:pPr>
        <w:pStyle w:val="ListParagraph"/>
        <w:numPr>
          <w:ilvl w:val="0"/>
          <w:numId w:val="1"/>
        </w:numPr>
        <w:spacing w:after="80"/>
      </w:pPr>
      <w:r>
        <w:t xml:space="preserve">Prior no-show history and distance remain real, independently significant drivers after controlling for other factors, but are individually modest in size — they matter most in combination (Section 2.6 of the Week 5 report) or as secondary flags alongside lead time.</w:t>
      </w:r>
    </w:p>
    <w:p>
      <w:pPr>
        <w:pStyle w:val="ListParagraph"/>
        <w:numPr>
          <w:ilvl w:val="0"/>
          <w:numId w:val="1"/>
        </w:numPr>
        <w:spacing w:after="80"/>
      </w:pPr>
      <w:r>
        <w:t xml:space="preserve">Reminders are protective (OR 0.84) even after controlling for who receives them, but channel matters: SMS outperforms Email and WhatsApp, especially for higher-risk patients (56.2% vs 61.4% no-show rate).</w:t>
      </w:r>
    </w:p>
    <w:p>
      <w:pPr>
        <w:pStyle w:val="ListParagraph"/>
        <w:numPr>
          <w:ilvl w:val="0"/>
          <w:numId w:val="1"/>
        </w:numPr>
        <w:spacing w:after="80"/>
      </w:pPr>
      <w:r>
        <w:t xml:space="preserve">The Sunday-appointment data anomaly, while still operationally unresolved, does not distort any reported finding — it can be escalated to stakeholders separately without holding up the current recommendations.</w:t>
      </w:r>
    </w:p>
    <w:p>
      <w:pPr>
        <w:pStyle w:val="ListParagraph"/>
        <w:numPr>
          <w:ilvl w:val="0"/>
          <w:numId w:val="1"/>
        </w:numPr>
        <w:spacing w:after="80"/>
      </w:pPr>
      <w:r>
        <w:t xml:space="preserve">Cancellations are a distinct population from no-shows (lower average risk tier, shorter lead time) and likely need a different intervention (easy rebooking) rather than the no-show-focused reminder/re-confirmation strategy.</w:t>
      </w:r>
    </w:p>
    <w:p>
      <w:pPr>
        <w:pStyle w:val="Heading2"/>
        <w:spacing w:after="120" w:before="240"/>
      </w:pPr>
      <w:r>
        <w:t xml:space="preserve">Updated Recommendations</w:t>
      </w:r>
    </w:p>
    <w:p>
      <w:pPr>
        <w:pStyle w:val="ListParagraph"/>
        <w:numPr>
          <w:ilvl w:val="0"/>
          <w:numId w:val="1"/>
        </w:numPr>
        <w:spacing w:after="80"/>
      </w:pPr>
      <w:r>
        <w:t xml:space="preserve">Prioritise a lead-time-triggered re-confirmation step (Week 5 recommendation) as the primary intervention — it targets the single largest, most consistent driver in the data.</w:t>
      </w:r>
    </w:p>
    <w:p>
      <w:pPr>
        <w:pStyle w:val="ListParagraph"/>
        <w:numPr>
          <w:ilvl w:val="0"/>
          <w:numId w:val="1"/>
        </w:numPr>
        <w:spacing w:after="80"/>
      </w:pPr>
      <w:r>
        <w:t xml:space="preserve">Set SMS as the default reminder channel, with priority allocation to higher-risk patients (2+ prior no-shows) — refines the Week 5 blanket-vs-targeted recommendation with a specific, evidence-backed channel choice.</w:t>
      </w:r>
    </w:p>
    <w:p>
      <w:pPr>
        <w:pStyle w:val="ListParagraph"/>
        <w:numPr>
          <w:ilvl w:val="0"/>
          <w:numId w:val="1"/>
        </w:numPr>
        <w:spacing w:after="80"/>
      </w:pPr>
      <w:r>
        <w:t xml:space="preserve">Quantified impact: the 68 appointments in the highest-priority segment (3+ prior no-shows, 15+ day lead time) generate an estimated 22 "excess" no-shows above the clinic's baseline rate — a concrete, bounded target for a pilot intervention.</w:t>
      </w:r>
    </w:p>
    <w:p>
      <w:pPr>
        <w:pStyle w:val="ListParagraph"/>
        <w:numPr>
          <w:ilvl w:val="0"/>
          <w:numId w:val="1"/>
        </w:numPr>
        <w:spacing w:after="80"/>
      </w:pPr>
      <w:r>
        <w:t xml:space="preserve">Quantified impact: extending reminders to the 148 higher-risk patients who currently receive none could save an estimated 15 appointments, based on the observed reminder effect within that group.</w:t>
      </w:r>
    </w:p>
    <w:p>
      <w:pPr>
        <w:pStyle w:val="ListParagraph"/>
        <w:numPr>
          <w:ilvl w:val="0"/>
          <w:numId w:val="1"/>
        </w:numPr>
        <w:spacing w:after="80"/>
      </w:pPr>
      <w:r>
        <w:t xml:space="preserve">Introduce a distinct, lightweight self-service rebooking flow for cancellations, separate from the no-show reminder strategy, given their different behavioural profile.</w:t>
      </w:r>
    </w:p>
    <w:p>
      <w:pPr>
        <w:pStyle w:val="Heading1"/>
        <w:spacing w:after="150" w:before="300"/>
      </w:pPr>
      <w:r>
        <w:t xml:space="preserve">6. Cross-Track Integration — Data Analytics → Data Science</w:t>
      </w:r>
    </w:p>
    <w:p>
      <w:pPr>
        <w:spacing w:after="120"/>
      </w:pPr>
      <w:r>
        <w:rPr>
          <w:b/>
          <w:bCs/>
        </w:rPr>
        <w:t xml:space="preserve">Track collaborated with: </w:t>
      </w:r>
      <w:r>
        <w:t xml:space="preserve">Data Science.</w:t>
      </w:r>
    </w:p>
    <w:p>
      <w:pPr>
        <w:spacing w:after="120"/>
      </w:pPr>
      <w:r>
        <w:rPr>
          <w:b/>
          <w:bCs/>
        </w:rPr>
        <w:t xml:space="preserve">Project dependency: </w:t>
      </w:r>
      <w:r>
        <w:t xml:space="preserve">Data Science's Week 5/6 feature selection and baseline no-show model depend on Data Analytics' validated risk-driver ranking; Data Analytics' recommendation to move from a rule-based flag to a scored model (or not) depends on how well that model performs on the defined high-risk segment.</w:t>
      </w:r>
    </w:p>
    <w:p>
      <w:pPr>
        <w:spacing w:after="120"/>
      </w:pPr>
      <w:r>
        <w:rPr>
          <w:b/>
          <w:bCs/>
        </w:rPr>
        <w:t xml:space="preserve">Information/output received: </w:t>
      </w:r>
      <w:r>
        <w:t xml:space="preserve">As of this report, outreach has been sent but a substantive response is still pending. The Data Science intern (finishing their own Week 5) had independently reached out regarding feature selection, preprocessing and a trained baseline model prepared for ML Engineering; this was redirected into a specific request for feature confirmation, high-risk-segment performance, and feature-importance ranking (message sent — see evidence below).</w:t>
      </w:r>
    </w:p>
    <w:p>
      <w:pPr>
        <w:spacing w:after="120"/>
      </w:pPr>
      <w:r>
        <w:rPr>
          <w:b/>
          <w:bCs/>
        </w:rPr>
        <w:t xml:space="preserve">Information/output provided: </w:t>
      </w:r>
      <w:r>
        <w:t xml:space="preserve">The multivariate-validated driver ranking (Section 2.1), the effect-size ranking (Section 2.2), the refined reminder-channel finding (Section 2.4), and the updated highest-priority segment (Section 5) were shared for use in evaluating and prioritising their model's features.</w:t>
      </w:r>
    </w:p>
    <w:p>
      <w:pPr>
        <w:spacing w:after="120"/>
      </w:pPr>
      <w:r>
        <w:rPr>
          <w:b/>
          <w:bCs/>
        </w:rPr>
        <w:t xml:space="preserve">Integration activity completed: </w:t>
      </w:r>
      <w:r>
        <w:t xml:space="preserve">Formal request sent for the three items needed to complete mutual validation (feature confirmation, segment-level performance, feature importance). This is a genuine, evidenced exchange rather than a one-way notification, but is not yet closed out with a received response.</w:t>
      </w:r>
    </w:p>
    <w:p>
      <w:pPr>
        <w:spacing w:after="120"/>
      </w:pPr>
      <w:r>
        <w:rPr>
          <w:b/>
          <w:bCs/>
        </w:rPr>
        <w:t xml:space="preserve">What changed as a result: </w:t>
      </w:r>
      <w:r>
        <w:t xml:space="preserve">To date: this report's driver ranking has been made explicitly benchmark-ready for a model comparison, which was not the case in the Week 5 KPI report. Once a response is received, the specific finding that will be updated is whether the model's performance on the high-risk segment supports or challenges the rule-based flag recommended in Section 5.</w:t>
      </w:r>
    </w:p>
    <w:p>
      <w:pPr>
        <w:spacing w:after="120"/>
      </w:pPr>
      <w:r>
        <w:rPr>
          <w:b/>
          <w:bCs/>
        </w:rPr>
        <w:t xml:space="preserve">Evidence: </w:t>
      </w:r>
      <w:r>
        <w:t xml:space="preserve">Outreach message (retained separately) requesting: (1) confirmation of which flagged features were used, (2) model performance on the 3+ prior no-shows / 15+ day lead time segment, (3) feature importance ranking. Status: sent, response pending at time of submission.</w:t>
      </w:r>
    </w:p>
    <w:p>
      <w:pPr>
        <w:spacing w:after="150"/>
      </w:pPr>
      <w:r>
        <w:rPr>
          <w:i/>
          <w:iCs/>
        </w:rPr>
        <w:t xml:space="preserve">This is flagged transparently as an open dependency rather than reported as complete — consistent with the assignment's requirement that collaboration produce a genuine exchange, not simply a message sent. It is carried into Section 8 (Week 7 plan) as the first item to close out.</w:t>
      </w:r>
    </w:p>
    <w:p>
      <w:pPr>
        <w:pStyle w:val="Heading1"/>
        <w:spacing w:after="150" w:before="300"/>
      </w:pPr>
      <w:r>
        <w:t xml:space="preserve">7. Assumptions, Limitations, Risks &amp; Dependencies — Week 6 Review</w:t>
      </w:r>
    </w:p>
    <w:p>
      <w:pPr>
        <w:pStyle w:val="Heading2"/>
        <w:spacing w:after="120" w:before="240"/>
      </w:pPr>
      <w:r>
        <w:t xml:space="preserve">Resolved this week</w:t>
      </w:r>
    </w:p>
    <w:p>
      <w:pPr>
        <w:pStyle w:val="ListParagraph"/>
        <w:numPr>
          <w:ilvl w:val="0"/>
          <w:numId w:val="1"/>
        </w:numPr>
        <w:spacing w:after="80"/>
      </w:pPr>
      <w:r>
        <w:t xml:space="preserve">Whether the Sunday-appointment anomaly (737 records) was distorting core findings — resolved analytically: it is not (Section 2.5). The underlying data-quality question of why these records exist remains open operationally.</w:t>
      </w:r>
    </w:p>
    <w:p>
      <w:pPr>
        <w:pStyle w:val="ListParagraph"/>
        <w:numPr>
          <w:ilvl w:val="0"/>
          <w:numId w:val="1"/>
        </w:numPr>
        <w:spacing w:after="80"/>
      </w:pPr>
      <w:r>
        <w:t xml:space="preserve">Whether Week 5's univariate findings could be confounded by age, gender or appointment type — resolved: all four significant relationships hold after multivariate control (Section 2.1).</w:t>
      </w:r>
    </w:p>
    <w:p>
      <w:pPr>
        <w:pStyle w:val="Heading2"/>
        <w:spacing w:after="120" w:before="240"/>
      </w:pPr>
      <w:r>
        <w:t xml:space="preserve">Still unresolved</w:t>
      </w:r>
    </w:p>
    <w:p>
      <w:pPr>
        <w:pStyle w:val="ListParagraph"/>
        <w:numPr>
          <w:ilvl w:val="0"/>
          <w:numId w:val="1"/>
        </w:numPr>
        <w:spacing w:after="80"/>
      </w:pPr>
      <w:r>
        <w:t xml:space="preserve">The Sunday-appointment inconsistency itself still requires stakeholder clarification; it has been carried forward unchanged since Week 4.</w:t>
      </w:r>
    </w:p>
    <w:p>
      <w:pPr>
        <w:pStyle w:val="ListParagraph"/>
        <w:numPr>
          <w:ilvl w:val="0"/>
          <w:numId w:val="1"/>
        </w:numPr>
        <w:spacing w:after="80"/>
      </w:pPr>
      <w:r>
        <w:t xml:space="preserve">Distance and waiting-time missingness (under 2% each) continues to be handled via row-wise exclusion rather than imputation.</w:t>
      </w:r>
    </w:p>
    <w:p>
      <w:pPr>
        <w:pStyle w:val="Heading2"/>
        <w:spacing w:after="120" w:before="240"/>
      </w:pPr>
      <w:r>
        <w:t xml:space="preserve">New issues discovered this week</w:t>
      </w:r>
    </w:p>
    <w:p>
      <w:pPr>
        <w:pStyle w:val="ListParagraph"/>
        <w:numPr>
          <w:ilvl w:val="0"/>
          <w:numId w:val="1"/>
        </w:numPr>
        <w:spacing w:after="80"/>
      </w:pPr>
      <w:r>
        <w:t xml:space="preserve">Cancellations are behaviourally distinct from no-shows (Section 2.6) — the Week 5 recommendations, which were framed around no-shows, do not automatically apply to the cancellation population.</w:t>
      </w:r>
    </w:p>
    <w:p>
      <w:pPr>
        <w:pStyle w:val="ListParagraph"/>
        <w:numPr>
          <w:ilvl w:val="0"/>
          <w:numId w:val="1"/>
        </w:numPr>
        <w:spacing w:after="80"/>
      </w:pPr>
      <w:r>
        <w:t xml:space="preserve">Reminder channel choice materially affects outcomes; the Week 5 recommendation to "reminder higher-risk patients more" was incomplete without specifying which channel.</w:t>
      </w:r>
    </w:p>
    <w:p>
      <w:pPr>
        <w:pStyle w:val="Heading2"/>
        <w:spacing w:after="120" w:before="240"/>
      </w:pPr>
      <w:r>
        <w:t xml:space="preserve">New cross-track dependency</w:t>
      </w:r>
    </w:p>
    <w:p>
      <w:pPr>
        <w:pStyle w:val="ListParagraph"/>
        <w:numPr>
          <w:ilvl w:val="0"/>
          <w:numId w:val="1"/>
        </w:numPr>
        <w:spacing w:after="80"/>
      </w:pPr>
      <w:r>
        <w:t xml:space="preserve">The Section 5 recommendation to adopt a rule-based flag vs. a predictive model now depends on receiving Data Science's model performance on the defined high-risk segment (Section 6) — this is an open dependency, not yet resolved.</w:t>
      </w:r>
    </w:p>
    <w:p>
      <w:pPr>
        <w:pStyle w:val="Heading2"/>
        <w:spacing w:after="120" w:before="240"/>
      </w:pPr>
      <w:r>
        <w:t xml:space="preserve">Limitations</w:t>
      </w:r>
    </w:p>
    <w:p>
      <w:pPr>
        <w:pStyle w:val="ListParagraph"/>
        <w:numPr>
          <w:ilvl w:val="0"/>
          <w:numId w:val="1"/>
        </w:numPr>
        <w:spacing w:after="80"/>
      </w:pPr>
      <w:r>
        <w:t xml:space="preserve">All findings remain correlational, from a single synthetic dataset snapshot; the multivariate model improves confidence that effects are independent of the covariates tested, but does not establish causation.</w:t>
      </w:r>
    </w:p>
    <w:p>
      <w:pPr>
        <w:pStyle w:val="ListParagraph"/>
        <w:numPr>
          <w:ilvl w:val="0"/>
          <w:numId w:val="1"/>
        </w:numPr>
        <w:spacing w:after="80"/>
      </w:pPr>
      <w:r>
        <w:t xml:space="preserve">The multivariate model's pseudo-R² (0.067) indicates these factors explain only part of the variation in no-show behaviour — useful for ranking drivers, not for individual-level prediction, which is the Data Science track's role.</w:t>
      </w:r>
    </w:p>
    <w:p>
      <w:pPr>
        <w:pStyle w:val="ListParagraph"/>
        <w:numPr>
          <w:ilvl w:val="0"/>
          <w:numId w:val="1"/>
        </w:numPr>
        <w:spacing w:after="80"/>
      </w:pPr>
      <w:r>
        <w:t xml:space="preserve">The dataset is explicitly fictional and synthetic; magnitudes should not be read as HealthConnect's literal real-world performance.</w:t>
      </w:r>
    </w:p>
    <w:p>
      <w:pPr>
        <w:pStyle w:val="Heading1"/>
        <w:spacing w:after="150" w:before="300"/>
      </w:pPr>
      <w:r>
        <w:t xml:space="preserve">8. Week 7 Analytical Testing Requirements</w:t>
      </w:r>
    </w:p>
    <w:p>
      <w:pPr>
        <w:pStyle w:val="ListParagraph"/>
        <w:numPr>
          <w:ilvl w:val="0"/>
          <w:numId w:val="1"/>
        </w:numPr>
        <w:spacing w:after="80"/>
      </w:pPr>
      <w:r>
        <w:t xml:space="preserve">Close out the pending Data Science exchange: obtain model performance on the high-risk segment and feature importance ranking; update Section 5 recommendation (rule-based flag vs. scored model) accordingly.</w:t>
      </w:r>
    </w:p>
    <w:p>
      <w:pPr>
        <w:pStyle w:val="ListParagraph"/>
        <w:numPr>
          <w:ilvl w:val="0"/>
          <w:numId w:val="1"/>
        </w:numPr>
        <w:spacing w:after="80"/>
      </w:pPr>
      <w:r>
        <w:t xml:space="preserve">If a Data Science model becomes available, run a head-to-head comparison: does the model's flagged high-risk group match the analytics-defined segment (3+ prior no-shows, 15+ day lead time), or does it surface a different population worth investigating?</w:t>
      </w:r>
    </w:p>
    <w:p>
      <w:pPr>
        <w:pStyle w:val="ListParagraph"/>
        <w:numPr>
          <w:ilvl w:val="0"/>
          <w:numId w:val="1"/>
        </w:numPr>
        <w:spacing w:after="80"/>
      </w:pPr>
      <w:r>
        <w:t xml:space="preserve">Pilot-test the SMS-first, risk-tiered reminder recommendation against a holdout period, if operational data becomes available.</w:t>
      </w:r>
    </w:p>
    <w:p>
      <w:pPr>
        <w:pStyle w:val="ListParagraph"/>
        <w:numPr>
          <w:ilvl w:val="0"/>
          <w:numId w:val="1"/>
        </w:numPr>
        <w:spacing w:after="80"/>
      </w:pPr>
      <w:r>
        <w:t xml:space="preserve">Escalate the Sunday-appointment anomaly to AnalystLab/clinic stakeholders for a definitive resolution before Week 8 final integration.</w:t>
      </w:r>
    </w:p>
    <w:p>
      <w:pPr>
        <w:pStyle w:val="ListParagraph"/>
        <w:numPr>
          <w:ilvl w:val="0"/>
          <w:numId w:val="1"/>
        </w:numPr>
        <w:spacing w:after="80"/>
      </w:pPr>
      <w:r>
        <w:t xml:space="preserve">Investigate whether a lightweight rebooking flow measurably changes the cancellation rate, once the distinct cancellation profile (Section 2.6) is shared with any relevant product/PM stakeholder.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1d7067dea534447eef56883c0e7a977f29a1f8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2026-09-15T06:15:42.244Z</dcterms:created>
  <dcterms:modified xsi:type="dcterms:W3CDTF">2026-09-15T06:15:42.254Z</dcterms:modified>
</cp:coreProperties>
</file>

<file path=docProps/custom.xml><?xml version="1.0" encoding="utf-8"?>
<Properties xmlns="http://schemas.openxmlformats.org/officeDocument/2006/custom-properties" xmlns:vt="http://schemas.openxmlformats.org/officeDocument/2006/docPropsVTypes"/>
</file>