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</w:pPr>
      <w:r>
        <w:rPr>
          <w:b/>
          <w:bCs/>
          <w:color w:val="1F4E79"/>
          <w:sz w:val="32"/>
          <w:szCs w:val="32"/>
        </w:rPr>
        <w:t xml:space="preserve">HealthConnect Clinic — Week 6 Project Summary</w:t>
      </w:r>
    </w:p>
    <w:p>
      <w:pPr>
        <w:spacing w:after="140"/>
      </w:pPr>
      <w:r>
        <w:rPr>
          <w:i/>
          <w:iCs/>
        </w:rPr>
        <w:t xml:space="preserve">Data Analytics Track | AnalystLab Africa Experience Lab</w:t>
      </w:r>
    </w:p>
    <w:p>
      <w:pPr>
        <w:pStyle w:val="Heading1"/>
        <w:spacing w:after="130" w:before="260"/>
      </w:pPr>
      <w:r>
        <w:t xml:space="preserve">1. Planned for Week 6</w:t>
      </w:r>
    </w:p>
    <w:p>
      <w:pPr>
        <w:spacing w:after="140"/>
      </w:pPr>
      <w:r>
        <w:t xml:space="preserve">Move from Week 5's initial KPIs and insights into deeper validation: check whether the key findings hold up under multivariate control and across patient/appointment segments, quantify practical (not just statistical) importance, resolve the outstanding Sunday-anomaly question analytically, and complete a genuine cross-track integration with Data Science rather than a one-way handoff.</w:t>
      </w:r>
    </w:p>
    <w:p>
      <w:pPr>
        <w:pStyle w:val="Heading1"/>
        <w:spacing w:after="130" w:before="260"/>
      </w:pPr>
      <w:r>
        <w:t xml:space="preserve">2. What Was Completed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Ran a multivariate logistic regression validating that lead time, prior no-show count, distance and reminder status all remain independently significant after controlling for age, gender and appointment type.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Calculated effect sizes (Cramér's V) for all five KPI relationships, establishing a practical-importance ranking distinct from statistical significance.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Checked the lead-time effect for consistency across appointment type, age group and gender — confirmed it holds broadly rather than being segment-specific.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Broke reminder effectiveness down by channel (SMS/Email/WhatsApp) and by risk tier — a cut not covered in Week 5.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Ran a sensitivity check excluding the 737 unresolved Sunday-appointment records against all core KPIs.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Conducted a cancellation deep dive, bringing forward a Week 5 "future work" item ahead of schedule.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Quantified business impact in appointment counts for two recommendations (highest-risk segment, reminder gap).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Initiated and evidenced a specific cross-track integration request to the Data Science track.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Produced an updated 6-panel dashboard and the full Advanced Analytics &amp; Decision Support Report.</w:t>
      </w:r>
    </w:p>
    <w:p>
      <w:pPr>
        <w:pStyle w:val="Heading1"/>
        <w:spacing w:after="130" w:before="260"/>
      </w:pPr>
      <w:r>
        <w:t xml:space="preserve">3. What Was Improved From Week 5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Moved from univariate to multivariate validation of all key findings.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Replaced "statistically significant" as the sole bar for importance with an explicit effect-size ranking.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Refined the reminder recommendation from "target higher-risk patients" to "target higher-risk patients via SMS specifically."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Resolved the analytical (though not operational) question of whether the Sunday anomaly was distorting findings.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Distinguished cancellations from no-shows as separate populations requiring separate interventions.</w:t>
      </w:r>
    </w:p>
    <w:p>
      <w:pPr>
        <w:pStyle w:val="Heading1"/>
        <w:spacing w:after="130" w:before="260"/>
      </w:pPr>
      <w:r>
        <w:t xml:space="preserve">4. What Was Integrated</w:t>
      </w:r>
    </w:p>
    <w:p>
      <w:pPr>
        <w:spacing w:after="140"/>
      </w:pPr>
      <w:r>
        <w:t xml:space="preserve">A specific, evidenced request was sent to the Data Science track intern (currently finishing their own Week 5): confirmation of which flagged features were used in their baseline model, the model's performance on the highest-risk segment defined in Week 5, and their feature-importance ranking. In return, this week's multivariate-validated driver ranking, effect-size ranking and refined reminder-channel finding were shared for use in their feature and model evaluation. As of submission, the response is pending — this is documented transparently in Section 6 of the main report rather than reported as a completed exchange.</w:t>
      </w:r>
    </w:p>
    <w:p>
      <w:pPr>
        <w:pStyle w:val="Heading1"/>
        <w:spacing w:after="130" w:before="260"/>
      </w:pPr>
      <w:r>
        <w:t xml:space="preserve">5. Track(s) Collaborated With</w:t>
      </w:r>
    </w:p>
    <w:p>
      <w:pPr>
        <w:spacing w:after="140"/>
      </w:pPr>
      <w:r>
        <w:t xml:space="preserve">Data Science.</w:t>
      </w:r>
    </w:p>
    <w:p>
      <w:pPr>
        <w:pStyle w:val="Heading1"/>
        <w:spacing w:after="130" w:before="260"/>
      </w:pPr>
      <w:r>
        <w:t xml:space="preserve">6. What Was Exchanged</w:t>
      </w:r>
    </w:p>
    <w:p>
      <w:pPr>
        <w:spacing w:after="140"/>
      </w:pPr>
      <w:r>
        <w:t xml:space="preserve">Provided: validated risk-driver ranking, effect-size ranking, reminder-channel finding, updated high-risk segment definition. Requested: feature confirmation, high-risk-segment model performance, feature-importance ranking.</w:t>
      </w:r>
    </w:p>
    <w:p>
      <w:pPr>
        <w:pStyle w:val="Heading1"/>
        <w:spacing w:after="130" w:before="260"/>
      </w:pPr>
      <w:r>
        <w:t xml:space="preserve">7. What Changed as a Result</w:t>
      </w:r>
    </w:p>
    <w:p>
      <w:pPr>
        <w:spacing w:after="140"/>
      </w:pPr>
      <w:r>
        <w:t xml:space="preserve">The Data Analytics driver ranking is now explicitly structured to be benchmarked against a predictive model, which it was not in Week 5. The specific open item — whether a scored model outperforms the current rule-based flag on the defined high-risk segment — will be resolved once a response is received, and is carried into the Week 7 plan.</w:t>
      </w:r>
    </w:p>
    <w:p>
      <w:pPr>
        <w:pStyle w:val="Heading1"/>
        <w:spacing w:after="130" w:before="260"/>
      </w:pPr>
      <w:r>
        <w:t xml:space="preserve">8. Key Findings / Development Outcomes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Lead time is confirmed as the dominant driver in both practical (Cramér's V = 0.184) and multivariate (OR 4.24) terms — in a different tier from every other factor tested.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All four significant Week 5 relationships (lead time, prior no-shows, distance, reminders) survive multivariate control — none were confounded.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SMS is the most effective reminder channel, especially for higher-risk patients (56.2% vs 61.4% no-show rate for WhatsApp).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The Sunday-appointment anomaly does not distort any reported KPI.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Cancellations are behaviourally distinct from no-shows — lower risk-tier share and shorter lead time — and likely need a different intervention.</w:t>
      </w:r>
    </w:p>
    <w:p>
      <w:pPr>
        <w:pStyle w:val="Heading1"/>
        <w:spacing w:after="130" w:before="260"/>
      </w:pPr>
      <w:r>
        <w:t xml:space="preserve">9. Major Challenges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Translating "statistically significant" findings into a practical-importance ranking required introducing a new metric (Cramér's V) not used in Week 5, to avoid overstating the importance of small effects like distance and reminders relative to lead time.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The Data Science cross-track exchange could not be fully closed out within the Week 6 window, since the partner track intern is still finishing their own Week 5 work — this is documented as an open dependency rather than papered over.</w:t>
      </w:r>
    </w:p>
    <w:p>
      <w:pPr>
        <w:pStyle w:val="Heading1"/>
        <w:spacing w:after="130" w:before="260"/>
      </w:pPr>
      <w:r>
        <w:t xml:space="preserve">10. Important Decisions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Chose to report the multivariate model and effect sizes as the headline validation method, rather than re-running the Week 5 chi-square tests, since they directly answer the "do these findings still hold" question the Week 6 brief poses.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Chose to flag the Data Science integration as in-progress rather than represent it as complete, in line with the requirement that collaboration produce a genuine exchange, not just outreach.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Brought the cancellation deep-dive forward from the Week 5 "proposed Week 6/7 focus" list rather than deferring it further, since it directly supported this week's validation objective.</w:t>
      </w:r>
    </w:p>
    <w:p>
      <w:pPr>
        <w:pStyle w:val="Heading1"/>
        <w:spacing w:after="130" w:before="260"/>
      </w:pPr>
      <w:r>
        <w:t xml:space="preserve">11. Remaining Issues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Data Science response on feature confirmation, segment-level model performance and feature importance — pending.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Sunday-appointment anomaly — still requires stakeholder clarification (operationally unresolved, though analytically shown not to distort findings).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Distance/waiting-time missingness — still handled via row-wise exclusion; no imputation approach agreed yet.</w:t>
      </w:r>
    </w:p>
    <w:p>
      <w:pPr>
        <w:pStyle w:val="Heading1"/>
        <w:spacing w:after="130" w:before="260"/>
      </w:pPr>
      <w:r>
        <w:t xml:space="preserve">12. Contribution to the Overall HealthConnect Project</w:t>
      </w:r>
    </w:p>
    <w:p>
      <w:pPr>
        <w:spacing w:after="140"/>
      </w:pPr>
      <w:r>
        <w:t xml:space="preserve">This week converts Week 5's exploratory findings into decision-ready, validated evidence: stakeholders can now be told not just that lead time and prior no-shows matter, but that they matter independently of other factors, consistently across patient groups, and to a degree (effect size) that should shape where intervention resources go first. The reminder-channel and cancellation findings add two new, immediately actionable refinements. The formal integration request also moves the project from track-siloed outputs toward a genuinely cross-validated recommendation, which is the stated purpose of Week 6.</w:t>
      </w:r>
    </w:p>
    <w:p>
      <w:pPr>
        <w:pStyle w:val="Heading1"/>
        <w:spacing w:after="130" w:before="260"/>
      </w:pPr>
      <w:r>
        <w:t xml:space="preserve">13. Proposed Focus for Week 7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Close the Data Science loop: obtain and incorporate their model performance on the high-risk segment.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Compare the Data Science model's flagged high-risk patients against the analytics-defined segment to see if they agree.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Pilot-test the SMS-first, risk-tiered reminder recommendation if operational/test data becomes available.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Escalate the Sunday-appointment anomaly for a definitive resolution ahead of Week 8 final integration.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Explore a lightweight rebooking flow for the cancellation population, coordinating with Project Management if relevant.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2026-09-15T06:16:34.019Z</dcterms:created>
  <dcterms:modified xsi:type="dcterms:W3CDTF">2026-09-15T06:16:34.020Z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