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CCF99">
      <w:pPr>
        <w:pStyle w:val="7"/>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color w:val="000000"/>
          <w:sz w:val="36"/>
        </w:rPr>
        <w:t>上市公司违规监管政策与官方案例</w:t>
      </w:r>
    </w:p>
    <w:p w14:paraId="18C0C7B8">
      <w:pPr>
        <w:pStyle w:val="8"/>
        <w:keepNext/>
        <w:keepLines w:val="0"/>
        <w:pageBreakBefore w:val="0"/>
        <w:numPr>
          <w:ilvl w:val="0"/>
          <w:numId w:val="1"/>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color w:val="000000"/>
          <w:sz w:val="30"/>
          <w:lang w:val="en-US" w:eastAsia="zh-CN"/>
        </w:rPr>
      </w:pPr>
      <w:r>
        <w:rPr>
          <w:rFonts w:hint="eastAsia" w:asciiTheme="minorEastAsia" w:hAnsiTheme="minorEastAsia" w:eastAsiaTheme="minorEastAsia" w:cstheme="minorEastAsia"/>
          <w:b/>
          <w:color w:val="000000"/>
          <w:sz w:val="30"/>
          <w:lang w:val="en-US" w:eastAsia="zh-CN"/>
        </w:rPr>
        <w:t>官方文件</w:t>
      </w:r>
    </w:p>
    <w:p w14:paraId="6F13E944">
      <w:pPr>
        <w:pStyle w:val="9"/>
        <w:keepNext/>
        <w:keepLines w:val="0"/>
        <w:pageBreakBefore w:val="0"/>
        <w:widowControl/>
        <w:numPr>
          <w:ilvl w:val="0"/>
          <w:numId w:val="2"/>
        </w:numPr>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b/>
          <w:color w:val="0000FF"/>
          <w:sz w:val="24"/>
          <w:szCs w:val="24"/>
        </w:rPr>
        <w:fldChar w:fldCharType="begin"/>
      </w:r>
      <w:r>
        <w:rPr>
          <w:rFonts w:hint="eastAsia" w:asciiTheme="minorEastAsia" w:hAnsiTheme="minorEastAsia" w:eastAsiaTheme="minorEastAsia" w:cstheme="minorEastAsia"/>
          <w:b/>
          <w:color w:val="0000FF"/>
          <w:sz w:val="24"/>
          <w:szCs w:val="24"/>
        </w:rPr>
        <w:instrText xml:space="preserve"> HYPERLINK "https://www.gov.cn/zhengce/zhengceku/202404/content_6944878.htm" </w:instrText>
      </w:r>
      <w:r>
        <w:rPr>
          <w:rFonts w:hint="eastAsia" w:asciiTheme="minorEastAsia" w:hAnsiTheme="minorEastAsia" w:eastAsiaTheme="minorEastAsia" w:cstheme="minorEastAsia"/>
          <w:b/>
          <w:color w:val="0000FF"/>
          <w:sz w:val="24"/>
          <w:szCs w:val="24"/>
        </w:rPr>
        <w:fldChar w:fldCharType="separate"/>
      </w:r>
      <w:r>
        <w:rPr>
          <w:rStyle w:val="5"/>
          <w:rFonts w:hint="eastAsia" w:asciiTheme="minorEastAsia" w:hAnsiTheme="minorEastAsia" w:eastAsiaTheme="minorEastAsia" w:cstheme="minorEastAsia"/>
          <w:b/>
          <w:color w:val="0000FF"/>
          <w:sz w:val="24"/>
          <w:szCs w:val="24"/>
        </w:rPr>
        <w:t>国务院“新国九条”原文——中国政府网</w:t>
      </w:r>
      <w:r>
        <w:rPr>
          <w:rFonts w:hint="eastAsia" w:asciiTheme="minorEastAsia" w:hAnsiTheme="minorEastAsia" w:eastAsiaTheme="minorEastAsia" w:cstheme="minorEastAsia"/>
          <w:b/>
          <w:color w:val="0000FF"/>
          <w:sz w:val="24"/>
          <w:szCs w:val="24"/>
        </w:rPr>
        <w:fldChar w:fldCharType="end"/>
      </w:r>
    </w:p>
    <w:p w14:paraId="63383768">
      <w:pPr>
        <w:pStyle w:val="2"/>
        <w:keepNext w:val="0"/>
        <w:keepLines w:val="0"/>
        <w:pageBreakBefore w:val="0"/>
        <w:widowControl/>
        <w:suppressLineNumbers w:val="0"/>
        <w:kinsoku/>
        <w:wordWrap/>
        <w:overflowPunct/>
        <w:topLinePunct w:val="0"/>
        <w:autoSpaceDE/>
        <w:autoSpaceDN/>
        <w:bidi w:val="0"/>
        <w:adjustRightInd/>
        <w:snapToGrid/>
        <w:spacing w:before="0" w:after="120" w:line="360" w:lineRule="auto"/>
        <w:ind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资本市场监管的顶层政策，提出建立央地和跨部门监管</w:t>
      </w:r>
      <w:r>
        <w:rPr>
          <w:rFonts w:hint="eastAsia" w:asciiTheme="minorEastAsia" w:hAnsiTheme="minorEastAsia" w:eastAsiaTheme="minorEastAsia" w:cstheme="minorEastAsia"/>
          <w:b/>
          <w:bCs/>
          <w:color w:val="000000"/>
          <w:sz w:val="24"/>
          <w:szCs w:val="24"/>
        </w:rPr>
        <w:t>数据信息共享机制</w:t>
      </w:r>
      <w:r>
        <w:rPr>
          <w:rFonts w:hint="eastAsia" w:asciiTheme="minorEastAsia" w:hAnsiTheme="minorEastAsia" w:eastAsiaTheme="minorEastAsia" w:cstheme="minorEastAsia"/>
          <w:color w:val="000000"/>
          <w:sz w:val="24"/>
          <w:szCs w:val="24"/>
        </w:rPr>
        <w:t>。</w:t>
      </w:r>
    </w:p>
    <w:p w14:paraId="28AE6A09">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1852930"/>
            <wp:effectExtent l="0" t="0" r="63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1852930"/>
                    </a:xfrm>
                    <a:prstGeom prst="rect">
                      <a:avLst/>
                    </a:prstGeom>
                    <a:noFill/>
                    <a:ln>
                      <a:noFill/>
                    </a:ln>
                  </pic:spPr>
                </pic:pic>
              </a:graphicData>
            </a:graphic>
          </wp:inline>
        </w:drawing>
      </w:r>
    </w:p>
    <w:p w14:paraId="5C3E3A15">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color w:val="0000FF"/>
          <w:sz w:val="24"/>
          <w:szCs w:val="24"/>
        </w:rPr>
      </w:pPr>
      <w:r>
        <w:rPr>
          <w:rFonts w:hint="eastAsia" w:asciiTheme="minorEastAsia" w:hAnsiTheme="minorEastAsia" w:eastAsiaTheme="minorEastAsia" w:cstheme="minorEastAsia"/>
          <w:b/>
          <w:bCs/>
          <w:color w:val="0000FF"/>
          <w:sz w:val="24"/>
          <w:szCs w:val="24"/>
        </w:rPr>
        <w:fldChar w:fldCharType="begin"/>
      </w:r>
      <w:r>
        <w:rPr>
          <w:rFonts w:hint="eastAsia" w:asciiTheme="minorEastAsia" w:hAnsiTheme="minorEastAsia" w:eastAsiaTheme="minorEastAsia" w:cstheme="minorEastAsia"/>
          <w:b/>
          <w:bCs/>
          <w:color w:val="0000FF"/>
          <w:sz w:val="24"/>
          <w:szCs w:val="24"/>
        </w:rPr>
        <w:instrText xml:space="preserve"> HYPERLINK "https://www.csrc.gov.cn/csrc/c100028/c7491799/content.shtml" </w:instrText>
      </w:r>
      <w:r>
        <w:rPr>
          <w:rFonts w:hint="eastAsia" w:asciiTheme="minorEastAsia" w:hAnsiTheme="minorEastAsia" w:eastAsiaTheme="minorEastAsia" w:cstheme="minorEastAsia"/>
          <w:b/>
          <w:bCs/>
          <w:color w:val="0000FF"/>
          <w:sz w:val="24"/>
          <w:szCs w:val="24"/>
        </w:rPr>
        <w:fldChar w:fldCharType="separate"/>
      </w:r>
      <w:r>
        <w:rPr>
          <w:rStyle w:val="5"/>
          <w:rFonts w:hint="eastAsia" w:asciiTheme="minorEastAsia" w:hAnsiTheme="minorEastAsia" w:eastAsiaTheme="minorEastAsia" w:cstheme="minorEastAsia"/>
          <w:b/>
          <w:bCs/>
          <w:color w:val="0000FF"/>
          <w:sz w:val="24"/>
          <w:szCs w:val="24"/>
        </w:rPr>
        <w:t>关于进一步做好资本市场财务造假综合惩防工作的意见——中国证监会</w:t>
      </w:r>
      <w:r>
        <w:rPr>
          <w:rFonts w:hint="eastAsia" w:asciiTheme="minorEastAsia" w:hAnsiTheme="minorEastAsia" w:eastAsiaTheme="minorEastAsia" w:cstheme="minorEastAsia"/>
          <w:b/>
          <w:bCs/>
          <w:color w:val="0000FF"/>
          <w:sz w:val="24"/>
          <w:szCs w:val="24"/>
        </w:rPr>
        <w:fldChar w:fldCharType="end"/>
      </w:r>
    </w:p>
    <w:p w14:paraId="7E713D08">
      <w:pPr>
        <w:pStyle w:val="2"/>
        <w:keepNext w:val="0"/>
        <w:keepLines w:val="0"/>
        <w:pageBreakBefore w:val="0"/>
        <w:widowControl/>
        <w:suppressLineNumbers w:val="0"/>
        <w:kinsoku/>
        <w:wordWrap/>
        <w:overflowPunct/>
        <w:topLinePunct w:val="0"/>
        <w:autoSpaceDE/>
        <w:autoSpaceDN/>
        <w:bidi w:val="0"/>
        <w:adjustRightInd/>
        <w:snapToGrid/>
        <w:spacing w:before="0" w:after="120" w:line="360" w:lineRule="auto"/>
        <w:ind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指出财务造假具有系统性、隐蔽性、复杂性，并要求利用</w:t>
      </w:r>
      <w:r>
        <w:rPr>
          <w:rFonts w:hint="eastAsia" w:asciiTheme="minorEastAsia" w:hAnsiTheme="minorEastAsia" w:eastAsiaTheme="minorEastAsia" w:cstheme="minorEastAsia"/>
          <w:b/>
          <w:bCs/>
          <w:color w:val="000000"/>
          <w:sz w:val="24"/>
          <w:szCs w:val="24"/>
        </w:rPr>
        <w:t>科技手段</w:t>
      </w:r>
      <w:r>
        <w:rPr>
          <w:rFonts w:hint="eastAsia" w:asciiTheme="minorEastAsia" w:hAnsiTheme="minorEastAsia" w:eastAsiaTheme="minorEastAsia" w:cstheme="minorEastAsia"/>
          <w:color w:val="000000"/>
          <w:sz w:val="24"/>
          <w:szCs w:val="24"/>
        </w:rPr>
        <w:t>、信用信息和银行流水等多渠道识别造假线索。</w:t>
      </w:r>
    </w:p>
    <w:p w14:paraId="7A9A67F7">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5420" cy="801370"/>
            <wp:effectExtent l="0" t="0" r="190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5420" cy="801370"/>
                    </a:xfrm>
                    <a:prstGeom prst="rect">
                      <a:avLst/>
                    </a:prstGeom>
                    <a:noFill/>
                    <a:ln>
                      <a:noFill/>
                    </a:ln>
                  </pic:spPr>
                </pic:pic>
              </a:graphicData>
            </a:graphic>
          </wp:inline>
        </w:drawing>
      </w:r>
    </w:p>
    <w:p w14:paraId="2C6D3C44">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color w:val="0000FF"/>
          <w:sz w:val="24"/>
          <w:szCs w:val="24"/>
        </w:rPr>
      </w:pPr>
      <w:r>
        <w:rPr>
          <w:rFonts w:hint="eastAsia" w:asciiTheme="minorEastAsia" w:hAnsiTheme="minorEastAsia" w:eastAsiaTheme="minorEastAsia" w:cstheme="minorEastAsia"/>
          <w:b/>
          <w:bCs/>
          <w:color w:val="0000FF"/>
          <w:sz w:val="24"/>
          <w:szCs w:val="24"/>
        </w:rPr>
        <w:fldChar w:fldCharType="begin"/>
      </w:r>
      <w:r>
        <w:rPr>
          <w:rFonts w:hint="eastAsia" w:asciiTheme="minorEastAsia" w:hAnsiTheme="minorEastAsia" w:eastAsiaTheme="minorEastAsia" w:cstheme="minorEastAsia"/>
          <w:b/>
          <w:bCs/>
          <w:color w:val="0000FF"/>
          <w:sz w:val="24"/>
          <w:szCs w:val="24"/>
        </w:rPr>
        <w:instrText xml:space="preserve"> HYPERLINK "https://www.csrc.gov.cn/csrc/c100028/c7625372/content.shtml" </w:instrText>
      </w:r>
      <w:r>
        <w:rPr>
          <w:rFonts w:hint="eastAsia" w:asciiTheme="minorEastAsia" w:hAnsiTheme="minorEastAsia" w:eastAsiaTheme="minorEastAsia" w:cstheme="minorEastAsia"/>
          <w:b/>
          <w:bCs/>
          <w:color w:val="0000FF"/>
          <w:sz w:val="24"/>
          <w:szCs w:val="24"/>
        </w:rPr>
        <w:fldChar w:fldCharType="separate"/>
      </w:r>
      <w:r>
        <w:rPr>
          <w:rStyle w:val="5"/>
          <w:rFonts w:hint="eastAsia" w:asciiTheme="minorEastAsia" w:hAnsiTheme="minorEastAsia" w:eastAsiaTheme="minorEastAsia" w:cstheme="minorEastAsia"/>
          <w:b/>
          <w:bCs/>
          <w:color w:val="0000FF"/>
          <w:sz w:val="24"/>
          <w:szCs w:val="24"/>
        </w:rPr>
        <w:t>中国证监会关于深化创业板改革、更好服务新质生产力发展的意见（2026）</w:t>
      </w:r>
      <w:r>
        <w:rPr>
          <w:rFonts w:hint="eastAsia" w:asciiTheme="minorEastAsia" w:hAnsiTheme="minorEastAsia" w:eastAsiaTheme="minorEastAsia" w:cstheme="minorEastAsia"/>
          <w:b/>
          <w:bCs/>
          <w:color w:val="0000FF"/>
          <w:sz w:val="24"/>
          <w:szCs w:val="24"/>
        </w:rPr>
        <w:fldChar w:fldCharType="end"/>
      </w:r>
    </w:p>
    <w:p w14:paraId="36D488DB">
      <w:pPr>
        <w:pStyle w:val="2"/>
        <w:keepNext w:val="0"/>
        <w:keepLines w:val="0"/>
        <w:pageBreakBefore w:val="0"/>
        <w:widowControl/>
        <w:suppressLineNumbers w:val="0"/>
        <w:kinsoku/>
        <w:wordWrap/>
        <w:overflowPunct/>
        <w:topLinePunct w:val="0"/>
        <w:autoSpaceDE/>
        <w:autoSpaceDN/>
        <w:bidi w:val="0"/>
        <w:adjustRightInd/>
        <w:snapToGrid/>
        <w:spacing w:before="0" w:after="120" w:line="360" w:lineRule="auto"/>
        <w:ind w:right="720"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强化穿透式监管，提升科技赋能质效，加强财务舞弊非现场监测和发现，健全信息沟通和共享机制。</w:t>
      </w:r>
    </w:p>
    <w:p w14:paraId="65BFD1A7">
      <w:pPr>
        <w:pStyle w:val="2"/>
        <w:keepNext w:val="0"/>
        <w:keepLines w:val="0"/>
        <w:pageBreakBefore w:val="0"/>
        <w:widowControl/>
        <w:suppressLineNumbers w:val="0"/>
        <w:kinsoku/>
        <w:wordWrap/>
        <w:overflowPunct/>
        <w:topLinePunct w:val="0"/>
        <w:autoSpaceDE/>
        <w:autoSpaceDN/>
        <w:bidi w:val="0"/>
        <w:adjustRightInd/>
        <w:snapToGrid/>
        <w:spacing w:line="360" w:lineRule="auto"/>
        <w:ind w:right="72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1033780"/>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1033780"/>
                    </a:xfrm>
                    <a:prstGeom prst="rect">
                      <a:avLst/>
                    </a:prstGeom>
                    <a:noFill/>
                    <a:ln>
                      <a:noFill/>
                    </a:ln>
                  </pic:spPr>
                </pic:pic>
              </a:graphicData>
            </a:graphic>
          </wp:inline>
        </w:drawing>
      </w:r>
    </w:p>
    <w:p w14:paraId="24004902">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0" w:leftChars="0" w:right="720" w:firstLine="0" w:firstLineChars="0"/>
        <w:textAlignment w:val="auto"/>
        <w:rPr>
          <w:rFonts w:hint="eastAsia" w:asciiTheme="minorEastAsia" w:hAnsiTheme="minorEastAsia" w:eastAsiaTheme="minorEastAsia" w:cstheme="minorEastAsia"/>
          <w:b/>
          <w:bCs/>
          <w:color w:val="0000FF"/>
          <w:sz w:val="24"/>
          <w:szCs w:val="24"/>
        </w:rPr>
      </w:pPr>
      <w:r>
        <w:rPr>
          <w:rFonts w:hint="eastAsia" w:asciiTheme="minorEastAsia" w:hAnsiTheme="minorEastAsia" w:eastAsiaTheme="minorEastAsia" w:cstheme="minorEastAsia"/>
          <w:b/>
          <w:bCs/>
          <w:color w:val="0000FF"/>
          <w:sz w:val="24"/>
          <w:szCs w:val="24"/>
        </w:rPr>
        <w:fldChar w:fldCharType="begin"/>
      </w:r>
      <w:r>
        <w:rPr>
          <w:rFonts w:hint="eastAsia" w:asciiTheme="minorEastAsia" w:hAnsiTheme="minorEastAsia" w:eastAsiaTheme="minorEastAsia" w:cstheme="minorEastAsia"/>
          <w:b/>
          <w:bCs/>
          <w:color w:val="0000FF"/>
          <w:sz w:val="24"/>
          <w:szCs w:val="24"/>
        </w:rPr>
        <w:instrText xml:space="preserve"> HYPERLINK "https://cfstc.pbc.gov.cn/bzgk/detail/?bzId=2166&amp;id=3" </w:instrText>
      </w:r>
      <w:r>
        <w:rPr>
          <w:rFonts w:hint="eastAsia" w:asciiTheme="minorEastAsia" w:hAnsiTheme="minorEastAsia" w:eastAsiaTheme="minorEastAsia" w:cstheme="minorEastAsia"/>
          <w:b/>
          <w:bCs/>
          <w:color w:val="0000FF"/>
          <w:sz w:val="24"/>
          <w:szCs w:val="24"/>
        </w:rPr>
        <w:fldChar w:fldCharType="separate"/>
      </w:r>
      <w:r>
        <w:rPr>
          <w:rStyle w:val="5"/>
          <w:rFonts w:hint="eastAsia" w:asciiTheme="minorEastAsia" w:hAnsiTheme="minorEastAsia" w:eastAsiaTheme="minorEastAsia" w:cstheme="minorEastAsia"/>
          <w:b/>
          <w:bCs/>
          <w:color w:val="0000FF"/>
          <w:sz w:val="24"/>
          <w:szCs w:val="24"/>
        </w:rPr>
        <w:t>金融数据安全 数据安全能力体系（JR/T 0358—2026）——中国人民银行金融标准全文公开系统</w:t>
      </w:r>
      <w:r>
        <w:rPr>
          <w:rFonts w:hint="eastAsia" w:asciiTheme="minorEastAsia" w:hAnsiTheme="minorEastAsia" w:eastAsiaTheme="minorEastAsia" w:cstheme="minorEastAsia"/>
          <w:b/>
          <w:bCs/>
          <w:color w:val="0000FF"/>
          <w:sz w:val="24"/>
          <w:szCs w:val="24"/>
        </w:rPr>
        <w:fldChar w:fldCharType="end"/>
      </w:r>
    </w:p>
    <w:p w14:paraId="4622CDEE">
      <w:pPr>
        <w:pStyle w:val="2"/>
        <w:keepNext w:val="0"/>
        <w:keepLines w:val="0"/>
        <w:pageBreakBefore w:val="0"/>
        <w:widowControl/>
        <w:suppressLineNumbers w:val="0"/>
        <w:kinsoku/>
        <w:wordWrap/>
        <w:overflowPunct/>
        <w:topLinePunct w:val="0"/>
        <w:autoSpaceDE/>
        <w:autoSpaceDN/>
        <w:bidi w:val="0"/>
        <w:adjustRightInd/>
        <w:snapToGrid/>
        <w:spacing w:before="0" w:after="120" w:line="360" w:lineRule="auto"/>
        <w:ind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2026年6月发布实施，是正式金融行业标准，可以支撑“金融数据处理必须兼顾利用与安全”的论述。</w:t>
      </w:r>
    </w:p>
    <w:p w14:paraId="64D95169">
      <w:pPr>
        <w:pStyle w:val="8"/>
        <w:keepNext/>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color w:val="000000"/>
          <w:sz w:val="30"/>
        </w:rPr>
        <w:t>二</w:t>
      </w:r>
      <w:r>
        <w:rPr>
          <w:rFonts w:hint="eastAsia" w:asciiTheme="minorEastAsia" w:hAnsiTheme="minorEastAsia" w:eastAsiaTheme="minorEastAsia" w:cstheme="minorEastAsia"/>
          <w:b/>
          <w:color w:val="000000"/>
          <w:sz w:val="30"/>
          <w:lang w:eastAsia="zh-CN"/>
        </w:rPr>
        <w:t>、</w:t>
      </w:r>
      <w:bookmarkStart w:id="0" w:name="_GoBack"/>
      <w:bookmarkEnd w:id="0"/>
      <w:r>
        <w:rPr>
          <w:rFonts w:hint="eastAsia" w:asciiTheme="minorEastAsia" w:hAnsiTheme="minorEastAsia" w:eastAsiaTheme="minorEastAsia" w:cstheme="minorEastAsia"/>
          <w:b/>
          <w:color w:val="000000"/>
          <w:sz w:val="30"/>
          <w:lang w:val="en-US" w:eastAsia="zh-CN"/>
        </w:rPr>
        <w:t>国家新闻</w:t>
      </w:r>
    </w:p>
    <w:p w14:paraId="428DA72E">
      <w:pPr>
        <w:keepLines w:val="0"/>
        <w:pageBreakBefore w:val="0"/>
        <w:kinsoku/>
        <w:wordWrap/>
        <w:overflowPunct/>
        <w:topLinePunct w:val="0"/>
        <w:autoSpaceDE/>
        <w:autoSpaceDN/>
        <w:bidi w:val="0"/>
        <w:adjustRightInd/>
        <w:snapToGrid/>
        <w:spacing w:before="0" w:after="120" w:line="360" w:lineRule="auto"/>
        <w:ind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以下案例从连续财务造假、关联方资金占用、第三方协助造假等角度，说明上市公司违规往往持续时间长、涉及主体多、数据来源分散。仅依靠单份年报或单一机构数据，难以完整识别其真实风险。</w:t>
      </w:r>
    </w:p>
    <w:p w14:paraId="4640F8BB">
      <w:pPr>
        <w:pStyle w:val="9"/>
        <w:keepNext/>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*ST元道连续四年虚增营业收入</w:t>
      </w:r>
    </w:p>
    <w:p w14:paraId="368E0283">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案例事实：</w:t>
      </w:r>
      <w:r>
        <w:rPr>
          <w:rFonts w:hint="eastAsia" w:asciiTheme="minorEastAsia" w:hAnsiTheme="minorEastAsia" w:eastAsiaTheme="minorEastAsia" w:cstheme="minorEastAsia"/>
          <w:color w:val="000000"/>
          <w:sz w:val="24"/>
          <w:szCs w:val="24"/>
        </w:rPr>
        <w:t>2019年至2022年，*ST元道通过虚构工作量确认单等方式连续虚增营业收入，四年合计约7.56亿元。证监会拟对公司及三名责任人罚款合计约2.57亿元，公司同时面临重大违法强制退市风险。</w:t>
      </w:r>
    </w:p>
    <w:p w14:paraId="22C34658">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与项目的关系：</w:t>
      </w:r>
      <w:r>
        <w:rPr>
          <w:rFonts w:hint="eastAsia" w:asciiTheme="minorEastAsia" w:hAnsiTheme="minorEastAsia" w:eastAsiaTheme="minorEastAsia" w:cstheme="minorEastAsia"/>
          <w:color w:val="000000"/>
          <w:sz w:val="24"/>
          <w:szCs w:val="24"/>
        </w:rPr>
        <w:t>该案例表明，仅观察年报中的营业收入难以发现造假，需要进一步交叉核验项目工作量、合同、客户信息和资金流向等多源数据。</w:t>
      </w:r>
    </w:p>
    <w:p w14:paraId="524A05E6">
      <w:pPr>
        <w:keepNext w:val="0"/>
        <w:keepLines w:val="0"/>
        <w:pageBreakBefore w:val="0"/>
        <w:kinsoku/>
        <w:wordWrap/>
        <w:overflowPunct/>
        <w:topLinePunct w:val="0"/>
        <w:autoSpaceDE/>
        <w:autoSpaceDN/>
        <w:bidi w:val="0"/>
        <w:adjustRightInd/>
        <w:snapToGrid/>
        <w:spacing w:after="18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官方来源：</w:t>
      </w:r>
      <w:r>
        <w:rPr>
          <w:rFonts w:hint="eastAsia" w:asciiTheme="minorEastAsia" w:hAnsiTheme="minorEastAsia" w:eastAsiaTheme="minorEastAsia" w:cstheme="minorEastAsia"/>
          <w:color w:val="0000FF"/>
          <w:sz w:val="24"/>
          <w:szCs w:val="24"/>
        </w:rPr>
        <w:fldChar w:fldCharType="begin"/>
      </w:r>
      <w:r>
        <w:rPr>
          <w:rFonts w:hint="eastAsia" w:asciiTheme="minorEastAsia" w:hAnsiTheme="minorEastAsia" w:eastAsiaTheme="minorEastAsia" w:cstheme="minorEastAsia"/>
          <w:color w:val="0000FF"/>
          <w:sz w:val="24"/>
          <w:szCs w:val="24"/>
        </w:rPr>
        <w:instrText xml:space="preserve"> HYPERLINK "https://www.news.cn/finance/20260629/dba744cb7b2a4e9392b442a5abaddcd5/c.html" \h </w:instrText>
      </w:r>
      <w:r>
        <w:rPr>
          <w:rFonts w:hint="eastAsia" w:asciiTheme="minorEastAsia" w:hAnsiTheme="minorEastAsia" w:eastAsiaTheme="minorEastAsia" w:cstheme="minorEastAsia"/>
          <w:color w:val="0000FF"/>
          <w:sz w:val="24"/>
          <w:szCs w:val="24"/>
        </w:rPr>
        <w:fldChar w:fldCharType="separate"/>
      </w:r>
      <w:r>
        <w:rPr>
          <w:rFonts w:hint="eastAsia" w:asciiTheme="minorEastAsia" w:hAnsiTheme="minorEastAsia" w:eastAsiaTheme="minorEastAsia" w:cstheme="minorEastAsia"/>
          <w:color w:val="0000FF"/>
          <w:sz w:val="24"/>
          <w:szCs w:val="24"/>
          <w:u w:val="single"/>
        </w:rPr>
        <w:t>新华网  分红不达标 *ST元道触发其他风险警示</w:t>
      </w:r>
      <w:r>
        <w:rPr>
          <w:rFonts w:hint="eastAsia" w:asciiTheme="minorEastAsia" w:hAnsiTheme="minorEastAsia" w:eastAsiaTheme="minorEastAsia" w:cstheme="minorEastAsia"/>
          <w:color w:val="0000FF"/>
          <w:sz w:val="24"/>
          <w:szCs w:val="24"/>
          <w:u w:val="single"/>
        </w:rPr>
        <w:fldChar w:fldCharType="end"/>
      </w:r>
    </w:p>
    <w:p w14:paraId="23716066">
      <w:pPr>
        <w:pStyle w:val="9"/>
        <w:keepNext/>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金通灵连续六年虚增利润</w:t>
      </w:r>
    </w:p>
    <w:p w14:paraId="0CE87341">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案例事实：</w:t>
      </w:r>
      <w:r>
        <w:rPr>
          <w:rFonts w:hint="eastAsia" w:asciiTheme="minorEastAsia" w:hAnsiTheme="minorEastAsia" w:eastAsiaTheme="minorEastAsia" w:cstheme="minorEastAsia"/>
          <w:color w:val="000000"/>
          <w:sz w:val="24"/>
          <w:szCs w:val="24"/>
        </w:rPr>
        <w:t>金通灵2017年至2022年连续六年虚增利润近8.2亿元。除公司原实际控制人和财务负责人被追究刑事责任外，负责审计的会计师事务所相关人员也因明知业务收入、成本缺乏可靠依据仍出具虚假审计报告而被追责。</w:t>
      </w:r>
    </w:p>
    <w:p w14:paraId="0F19E9BA">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与项目的关系：</w:t>
      </w:r>
      <w:r>
        <w:rPr>
          <w:rFonts w:hint="eastAsia" w:asciiTheme="minorEastAsia" w:hAnsiTheme="minorEastAsia" w:eastAsiaTheme="minorEastAsia" w:cstheme="minorEastAsia"/>
          <w:color w:val="000000"/>
          <w:sz w:val="24"/>
          <w:szCs w:val="24"/>
        </w:rPr>
        <w:t>财务造假可能同时涉及上市公司、客户和审计机构。对这类跨主体违规，仅分析公司自身财务指标并不足够，还需要融合公司治理、审计意见、交易关系和处罚记录等信息。</w:t>
      </w:r>
    </w:p>
    <w:p w14:paraId="3EE43793">
      <w:pPr>
        <w:keepNext w:val="0"/>
        <w:keepLines w:val="0"/>
        <w:pageBreakBefore w:val="0"/>
        <w:kinsoku/>
        <w:wordWrap/>
        <w:overflowPunct/>
        <w:topLinePunct w:val="0"/>
        <w:autoSpaceDE/>
        <w:autoSpaceDN/>
        <w:bidi w:val="0"/>
        <w:adjustRightInd/>
        <w:snapToGrid/>
        <w:spacing w:after="18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官方来源：</w:t>
      </w:r>
      <w:r>
        <w:rPr>
          <w:rFonts w:hint="eastAsia" w:asciiTheme="minorEastAsia" w:hAnsiTheme="minorEastAsia" w:eastAsiaTheme="minorEastAsia" w:cstheme="minorEastAsia"/>
          <w:color w:val="0000FF"/>
          <w:sz w:val="24"/>
          <w:szCs w:val="24"/>
        </w:rPr>
        <w:fldChar w:fldCharType="begin"/>
      </w:r>
      <w:r>
        <w:rPr>
          <w:rFonts w:hint="eastAsia" w:asciiTheme="minorEastAsia" w:hAnsiTheme="minorEastAsia" w:eastAsiaTheme="minorEastAsia" w:cstheme="minorEastAsia"/>
          <w:color w:val="0000FF"/>
          <w:sz w:val="24"/>
          <w:szCs w:val="24"/>
        </w:rPr>
        <w:instrText xml:space="preserve"> HYPERLINK "https://www.news.cn/finance/20260714/6c4b192cd3df4737b49bc2e45e3aaf8a/c.html" \h </w:instrText>
      </w:r>
      <w:r>
        <w:rPr>
          <w:rFonts w:hint="eastAsia" w:asciiTheme="minorEastAsia" w:hAnsiTheme="minorEastAsia" w:eastAsiaTheme="minorEastAsia" w:cstheme="minorEastAsia"/>
          <w:color w:val="0000FF"/>
          <w:sz w:val="24"/>
          <w:szCs w:val="24"/>
        </w:rPr>
        <w:fldChar w:fldCharType="separate"/>
      </w:r>
      <w:r>
        <w:rPr>
          <w:rFonts w:hint="eastAsia" w:asciiTheme="minorEastAsia" w:hAnsiTheme="minorEastAsia" w:eastAsiaTheme="minorEastAsia" w:cstheme="minorEastAsia"/>
          <w:color w:val="0000FF"/>
          <w:sz w:val="24"/>
          <w:szCs w:val="24"/>
          <w:u w:val="single"/>
        </w:rPr>
        <w:t>新华网  金通灵财务造假相关报道</w:t>
      </w:r>
      <w:r>
        <w:rPr>
          <w:rFonts w:hint="eastAsia" w:asciiTheme="minorEastAsia" w:hAnsiTheme="minorEastAsia" w:eastAsiaTheme="minorEastAsia" w:cstheme="minorEastAsia"/>
          <w:color w:val="0000FF"/>
          <w:sz w:val="24"/>
          <w:szCs w:val="24"/>
          <w:u w:val="single"/>
        </w:rPr>
        <w:fldChar w:fldCharType="end"/>
      </w:r>
    </w:p>
    <w:p w14:paraId="724E8D29">
      <w:pPr>
        <w:pStyle w:val="9"/>
        <w:keepNext/>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华微电子以预付设备款掩盖资金占用</w:t>
      </w:r>
    </w:p>
    <w:p w14:paraId="5B4448C2">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案例事实：</w:t>
      </w:r>
      <w:r>
        <w:rPr>
          <w:rFonts w:hint="eastAsia" w:asciiTheme="minorEastAsia" w:hAnsiTheme="minorEastAsia" w:eastAsiaTheme="minorEastAsia" w:cstheme="minorEastAsia"/>
          <w:color w:val="000000"/>
          <w:sz w:val="24"/>
          <w:szCs w:val="24"/>
        </w:rPr>
        <w:t>2015年至2023年，华微电子持续以预付设备款等名义与关联方开展无商业实质的资金往来，累计金额约173.69亿元。公司长期未披露相关资金占用，并曾在回复交易所监管工作函时否认存在该问题。</w:t>
      </w:r>
    </w:p>
    <w:p w14:paraId="797D7149">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与项目的关系：</w:t>
      </w:r>
      <w:r>
        <w:rPr>
          <w:rFonts w:hint="eastAsia" w:asciiTheme="minorEastAsia" w:hAnsiTheme="minorEastAsia" w:eastAsiaTheme="minorEastAsia" w:cstheme="minorEastAsia"/>
          <w:color w:val="000000"/>
          <w:sz w:val="24"/>
          <w:szCs w:val="24"/>
        </w:rPr>
        <w:t>形式上正常的采购和预付款可能实为关联方资金占用。识别此类行为需要联合分析资金流、供应商关联关系、财务报表和公告文本，体现了多源信息融合的重要性。</w:t>
      </w:r>
    </w:p>
    <w:p w14:paraId="2F5A5502">
      <w:pPr>
        <w:keepNext w:val="0"/>
        <w:keepLines w:val="0"/>
        <w:pageBreakBefore w:val="0"/>
        <w:kinsoku/>
        <w:wordWrap/>
        <w:overflowPunct/>
        <w:topLinePunct w:val="0"/>
        <w:autoSpaceDE/>
        <w:autoSpaceDN/>
        <w:bidi w:val="0"/>
        <w:adjustRightInd/>
        <w:snapToGrid/>
        <w:spacing w:after="18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官方来源：</w:t>
      </w:r>
      <w:r>
        <w:rPr>
          <w:rFonts w:hint="eastAsia" w:asciiTheme="minorEastAsia" w:hAnsiTheme="minorEastAsia" w:eastAsiaTheme="minorEastAsia" w:cstheme="minorEastAsia"/>
          <w:color w:val="0000FF"/>
          <w:sz w:val="24"/>
          <w:szCs w:val="24"/>
        </w:rPr>
        <w:fldChar w:fldCharType="begin"/>
      </w:r>
      <w:r>
        <w:rPr>
          <w:rFonts w:hint="eastAsia" w:asciiTheme="minorEastAsia" w:hAnsiTheme="minorEastAsia" w:eastAsiaTheme="minorEastAsia" w:cstheme="minorEastAsia"/>
          <w:color w:val="0000FF"/>
          <w:sz w:val="24"/>
          <w:szCs w:val="24"/>
        </w:rPr>
        <w:instrText xml:space="preserve"> HYPERLINK "https://www.csrc.gov.cn/shanxi/c105554/c7557965/content.shtml" \h </w:instrText>
      </w:r>
      <w:r>
        <w:rPr>
          <w:rFonts w:hint="eastAsia" w:asciiTheme="minorEastAsia" w:hAnsiTheme="minorEastAsia" w:eastAsiaTheme="minorEastAsia" w:cstheme="minorEastAsia"/>
          <w:color w:val="0000FF"/>
          <w:sz w:val="24"/>
          <w:szCs w:val="24"/>
        </w:rPr>
        <w:fldChar w:fldCharType="separate"/>
      </w:r>
      <w:r>
        <w:rPr>
          <w:rFonts w:hint="eastAsia" w:asciiTheme="minorEastAsia" w:hAnsiTheme="minorEastAsia" w:eastAsiaTheme="minorEastAsia" w:cstheme="minorEastAsia"/>
          <w:color w:val="0000FF"/>
          <w:sz w:val="24"/>
          <w:szCs w:val="24"/>
          <w:u w:val="single"/>
        </w:rPr>
        <w:t>中国证监会山西监管局  未依法披露资金占用典型案例警示宣传材料</w:t>
      </w:r>
      <w:r>
        <w:rPr>
          <w:rFonts w:hint="eastAsia" w:asciiTheme="minorEastAsia" w:hAnsiTheme="minorEastAsia" w:eastAsiaTheme="minorEastAsia" w:cstheme="minorEastAsia"/>
          <w:color w:val="0000FF"/>
          <w:sz w:val="24"/>
          <w:szCs w:val="24"/>
          <w:u w:val="single"/>
        </w:rPr>
        <w:fldChar w:fldCharType="end"/>
      </w:r>
    </w:p>
    <w:p w14:paraId="7AE0CD77">
      <w:pPr>
        <w:pStyle w:val="9"/>
        <w:keepNext/>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第三方配合上市公司形成虚假资金闭环</w:t>
      </w:r>
    </w:p>
    <w:p w14:paraId="1026F2B5">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案例事实：</w:t>
      </w:r>
      <w:r>
        <w:rPr>
          <w:rFonts w:hint="eastAsia" w:asciiTheme="minorEastAsia" w:hAnsiTheme="minorEastAsia" w:eastAsiaTheme="minorEastAsia" w:cstheme="minorEastAsia"/>
          <w:color w:val="000000"/>
          <w:sz w:val="24"/>
          <w:szCs w:val="24"/>
        </w:rPr>
        <w:t>某上市公司向供应商汇入5000万元，供应商在同一天按照上市公司要求将款项转给其他公司。该交易没有真实商业实质，却帮助上市公司虚增项目营业收入4800万元。法院判决供应商对投资者损失承担部分连带赔偿责任，该案成为全国首例生效的第三方协助上市公司造假判赔案。</w:t>
      </w:r>
    </w:p>
    <w:p w14:paraId="3F6DB33C">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与项目的关系：</w:t>
      </w:r>
      <w:r>
        <w:rPr>
          <w:rFonts w:hint="eastAsia" w:asciiTheme="minorEastAsia" w:hAnsiTheme="minorEastAsia" w:eastAsiaTheme="minorEastAsia" w:cstheme="minorEastAsia"/>
          <w:color w:val="000000"/>
          <w:sz w:val="24"/>
          <w:szCs w:val="24"/>
        </w:rPr>
        <w:t>公司账面上的采购付款可能表现正常，只有结合供应商账户、银行流水和合同信息，才能识别资金快速转出形成的闭环。但相关数据分属公司、供应商和银行，不能简单集中，因此需要隐私保护下的跨机构联合分析。</w:t>
      </w:r>
    </w:p>
    <w:p w14:paraId="7586998E">
      <w:pPr>
        <w:keepNext w:val="0"/>
        <w:keepLines w:val="0"/>
        <w:pageBreakBefore w:val="0"/>
        <w:kinsoku/>
        <w:wordWrap/>
        <w:overflowPunct/>
        <w:topLinePunct w:val="0"/>
        <w:autoSpaceDE/>
        <w:autoSpaceDN/>
        <w:bidi w:val="0"/>
        <w:adjustRightInd/>
        <w:snapToGrid/>
        <w:spacing w:after="18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官方来源：</w:t>
      </w:r>
      <w:r>
        <w:rPr>
          <w:rFonts w:hint="eastAsia" w:asciiTheme="minorEastAsia" w:hAnsiTheme="minorEastAsia" w:eastAsiaTheme="minorEastAsia" w:cstheme="minorEastAsia"/>
          <w:color w:val="0000FF"/>
          <w:sz w:val="24"/>
          <w:szCs w:val="24"/>
        </w:rPr>
        <w:fldChar w:fldCharType="begin"/>
      </w:r>
      <w:r>
        <w:rPr>
          <w:rFonts w:hint="eastAsia" w:asciiTheme="minorEastAsia" w:hAnsiTheme="minorEastAsia" w:eastAsiaTheme="minorEastAsia" w:cstheme="minorEastAsia"/>
          <w:color w:val="0000FF"/>
          <w:sz w:val="24"/>
          <w:szCs w:val="24"/>
        </w:rPr>
        <w:instrText xml:space="preserve"> HYPERLINK "https://www.szcourt.gov.cn/fydt/content/post_1748978.html" \h </w:instrText>
      </w:r>
      <w:r>
        <w:rPr>
          <w:rFonts w:hint="eastAsia" w:asciiTheme="minorEastAsia" w:hAnsiTheme="minorEastAsia" w:eastAsiaTheme="minorEastAsia" w:cstheme="minorEastAsia"/>
          <w:color w:val="0000FF"/>
          <w:sz w:val="24"/>
          <w:szCs w:val="24"/>
        </w:rPr>
        <w:fldChar w:fldCharType="separate"/>
      </w:r>
      <w:r>
        <w:rPr>
          <w:rFonts w:hint="eastAsia" w:asciiTheme="minorEastAsia" w:hAnsiTheme="minorEastAsia" w:eastAsiaTheme="minorEastAsia" w:cstheme="minorEastAsia"/>
          <w:color w:val="0000FF"/>
          <w:sz w:val="24"/>
          <w:szCs w:val="24"/>
          <w:u w:val="single"/>
        </w:rPr>
        <w:t>深圳市中级人民法院  深圳证监局联合发布2025年投资者保护典型案例</w:t>
      </w:r>
      <w:r>
        <w:rPr>
          <w:rFonts w:hint="eastAsia" w:asciiTheme="minorEastAsia" w:hAnsiTheme="minorEastAsia" w:eastAsiaTheme="minorEastAsia" w:cstheme="minorEastAsia"/>
          <w:color w:val="0000FF"/>
          <w:sz w:val="24"/>
          <w:szCs w:val="24"/>
          <w:u w:val="single"/>
        </w:rPr>
        <w:fldChar w:fldCharType="end"/>
      </w:r>
    </w:p>
    <w:p w14:paraId="124DA126">
      <w:pPr>
        <w:pStyle w:val="9"/>
        <w:keepNext/>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*ST元成连续三年虚增收入和利润</w:t>
      </w:r>
    </w:p>
    <w:p w14:paraId="33D5BDF3">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案例事实：</w:t>
      </w:r>
      <w:r>
        <w:rPr>
          <w:rFonts w:hint="eastAsia" w:asciiTheme="minorEastAsia" w:hAnsiTheme="minorEastAsia" w:eastAsiaTheme="minorEastAsia" w:cstheme="minorEastAsia"/>
          <w:color w:val="000000"/>
          <w:sz w:val="24"/>
          <w:szCs w:val="24"/>
        </w:rPr>
        <w:t>证监会查明，*ST元成连续三年虚增收入和利润，拟对上市公司罚款3745.46万元，对五名责任人员合计罚款4200万元，并对实际控制人采取十年证券市场禁入。公司涉嫌触及重大违法强制退市情形。</w:t>
      </w:r>
    </w:p>
    <w:p w14:paraId="39C6BF81">
      <w:pPr>
        <w:keepLines w:val="0"/>
        <w:pageBreakBefore w:val="0"/>
        <w:kinsoku/>
        <w:wordWrap/>
        <w:overflowPunct/>
        <w:topLinePunct w:val="0"/>
        <w:autoSpaceDE/>
        <w:autoSpaceDN/>
        <w:bidi w:val="0"/>
        <w:adjustRightInd/>
        <w:snapToGrid/>
        <w:spacing w:before="0" w:after="12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与项目的关系：</w:t>
      </w:r>
      <w:r>
        <w:rPr>
          <w:rFonts w:hint="eastAsia" w:asciiTheme="minorEastAsia" w:hAnsiTheme="minorEastAsia" w:eastAsiaTheme="minorEastAsia" w:cstheme="minorEastAsia"/>
          <w:color w:val="000000"/>
          <w:sz w:val="24"/>
          <w:szCs w:val="24"/>
        </w:rPr>
        <w:t>连续多年造假说明违规风险具有时间累积性。模型不应只观察单一年度数据，而应综合企业跨年度财务变化、治理信息和监管记录进行风险排序。</w:t>
      </w:r>
    </w:p>
    <w:p w14:paraId="6E5D322D">
      <w:pPr>
        <w:keepNext w:val="0"/>
        <w:keepLines w:val="0"/>
        <w:pageBreakBefore w:val="0"/>
        <w:kinsoku/>
        <w:wordWrap/>
        <w:overflowPunct/>
        <w:topLinePunct w:val="0"/>
        <w:autoSpaceDE/>
        <w:autoSpaceDN/>
        <w:bidi w:val="0"/>
        <w:adjustRightInd/>
        <w:snapToGrid/>
        <w:spacing w:after="18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000000"/>
          <w:sz w:val="24"/>
          <w:szCs w:val="24"/>
        </w:rPr>
        <w:t>官方来源：</w:t>
      </w:r>
      <w:r>
        <w:rPr>
          <w:rFonts w:hint="eastAsia" w:asciiTheme="minorEastAsia" w:hAnsiTheme="minorEastAsia" w:eastAsiaTheme="minorEastAsia" w:cstheme="minorEastAsia"/>
          <w:color w:val="0000FF"/>
          <w:sz w:val="24"/>
          <w:szCs w:val="24"/>
        </w:rPr>
        <w:fldChar w:fldCharType="begin"/>
      </w:r>
      <w:r>
        <w:rPr>
          <w:rFonts w:hint="eastAsia" w:asciiTheme="minorEastAsia" w:hAnsiTheme="minorEastAsia" w:eastAsiaTheme="minorEastAsia" w:cstheme="minorEastAsia"/>
          <w:color w:val="0000FF"/>
          <w:sz w:val="24"/>
          <w:szCs w:val="24"/>
        </w:rPr>
        <w:instrText xml:space="preserve"> HYPERLINK "https://www.csrc.gov.cn/csrc/c100200/c7595243/content.shtml" \h </w:instrText>
      </w:r>
      <w:r>
        <w:rPr>
          <w:rFonts w:hint="eastAsia" w:asciiTheme="minorEastAsia" w:hAnsiTheme="minorEastAsia" w:eastAsiaTheme="minorEastAsia" w:cstheme="minorEastAsia"/>
          <w:color w:val="0000FF"/>
          <w:sz w:val="24"/>
          <w:szCs w:val="24"/>
        </w:rPr>
        <w:fldChar w:fldCharType="separate"/>
      </w:r>
      <w:r>
        <w:rPr>
          <w:rFonts w:hint="eastAsia" w:asciiTheme="minorEastAsia" w:hAnsiTheme="minorEastAsia" w:eastAsiaTheme="minorEastAsia" w:cstheme="minorEastAsia"/>
          <w:color w:val="0000FF"/>
          <w:sz w:val="24"/>
          <w:szCs w:val="24"/>
          <w:u w:val="single"/>
        </w:rPr>
        <w:t>中国证监会  证监会严肃查处*ST元成严重财务造假案件</w:t>
      </w:r>
      <w:r>
        <w:rPr>
          <w:rFonts w:hint="eastAsia" w:asciiTheme="minorEastAsia" w:hAnsiTheme="minorEastAsia" w:eastAsiaTheme="minorEastAsia" w:cstheme="minorEastAsia"/>
          <w:color w:val="0000FF"/>
          <w:sz w:val="24"/>
          <w:szCs w:val="24"/>
          <w:u w:val="single"/>
        </w:rPr>
        <w:fldChar w:fldCharType="end"/>
      </w:r>
    </w:p>
    <w:p w14:paraId="5C79AF7C">
      <w:pPr>
        <w:pStyle w:val="8"/>
        <w:keepNext/>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color w:val="000000"/>
          <w:sz w:val="30"/>
        </w:rPr>
        <w:t>三</w:t>
      </w:r>
      <w:r>
        <w:rPr>
          <w:rFonts w:hint="eastAsia" w:asciiTheme="minorEastAsia" w:hAnsiTheme="minorEastAsia" w:eastAsiaTheme="minorEastAsia" w:cstheme="minorEastAsia"/>
          <w:b/>
          <w:color w:val="000000"/>
          <w:sz w:val="30"/>
          <w:lang w:eastAsia="zh-CN"/>
        </w:rPr>
        <w:t>、</w:t>
      </w:r>
      <w:r>
        <w:rPr>
          <w:rFonts w:hint="eastAsia" w:asciiTheme="minorEastAsia" w:hAnsiTheme="minorEastAsia" w:eastAsiaTheme="minorEastAsia" w:cstheme="minorEastAsia"/>
          <w:b/>
          <w:color w:val="000000"/>
          <w:sz w:val="30"/>
        </w:rPr>
        <w:t>与项目背景的衔接</w:t>
      </w:r>
    </w:p>
    <w:p w14:paraId="78201060">
      <w:pPr>
        <w:keepLines w:val="0"/>
        <w:pageBreakBefore w:val="0"/>
        <w:kinsoku/>
        <w:wordWrap/>
        <w:overflowPunct/>
        <w:topLinePunct w:val="0"/>
        <w:autoSpaceDE/>
        <w:autoSpaceDN/>
        <w:bidi w:val="0"/>
        <w:adjustRightInd/>
        <w:snapToGrid/>
        <w:spacing w:before="0" w:after="120" w:line="360" w:lineRule="auto"/>
        <w:ind w:firstLine="44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上述案例表明，上市公司违规可能长期隐藏在财务报表、合同、资金流水、关联关系、审计意见和公告文本之中，并可能涉及客户、供应商、银行和中介机构等多个主体。监管部门面对数量众多的上市公司，难以对全部企业开展同等强度的人工核查，因此需要利用模型形成风险排序名单。同时，不同机构掌握的数据具有敏感性，难以直接集中共享，这为在原始数据不出域条件下开展多源分节点建模提供了现实需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C7D7D"/>
    <w:multiLevelType w:val="singleLevel"/>
    <w:tmpl w:val="28EC7D7D"/>
    <w:lvl w:ilvl="0" w:tentative="0">
      <w:start w:val="1"/>
      <w:numFmt w:val="decimal"/>
      <w:suff w:val="space"/>
      <w:lvlText w:val="%1."/>
      <w:lvlJc w:val="left"/>
      <w:rPr>
        <w:rFonts w:hint="default"/>
        <w:color w:val="000000" w:themeColor="text1"/>
        <w14:textFill>
          <w14:solidFill>
            <w14:schemeClr w14:val="tx1"/>
          </w14:solidFill>
        </w14:textFill>
      </w:rPr>
    </w:lvl>
  </w:abstractNum>
  <w:abstractNum w:abstractNumId="1">
    <w:nsid w:val="2F923B44"/>
    <w:multiLevelType w:val="singleLevel"/>
    <w:tmpl w:val="2F923B44"/>
    <w:lvl w:ilvl="0" w:tentative="0">
      <w:start w:val="1"/>
      <w:numFmt w:val="decimal"/>
      <w:suff w:val="space"/>
      <w:lvlText w:val="%1."/>
      <w:lvlJc w:val="left"/>
    </w:lvl>
  </w:abstractNum>
  <w:abstractNum w:abstractNumId="2">
    <w:nsid w:val="3A3CE9C9"/>
    <w:multiLevelType w:val="singleLevel"/>
    <w:tmpl w:val="3A3CE9C9"/>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06C68"/>
    <w:rsid w:val="088A42CE"/>
    <w:rsid w:val="1A506C68"/>
    <w:rsid w:val="589736E1"/>
    <w:rsid w:val="75ED7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 w:type="paragraph" w:customStyle="1" w:styleId="7">
    <w:name w:val="Title"/>
    <w:qFormat/>
    <w:uiPriority w:val="0"/>
    <w:pPr>
      <w:spacing w:before="0" w:after="240"/>
      <w:jc w:val="center"/>
    </w:pPr>
    <w:rPr>
      <w:rFonts w:ascii="宋体" w:hAnsi="宋体" w:eastAsia="宋体" w:cs="Times New Roman"/>
      <w:b/>
      <w:color w:val="000000"/>
      <w:sz w:val="36"/>
    </w:rPr>
  </w:style>
  <w:style w:type="paragraph" w:customStyle="1" w:styleId="8">
    <w:name w:val="heading 1"/>
    <w:qFormat/>
    <w:uiPriority w:val="0"/>
    <w:pPr>
      <w:spacing w:before="240" w:after="140"/>
    </w:pPr>
    <w:rPr>
      <w:rFonts w:ascii="宋体" w:hAnsi="宋体" w:eastAsia="宋体" w:cs="Times New Roman"/>
      <w:b/>
      <w:color w:val="000000"/>
      <w:sz w:val="30"/>
    </w:rPr>
  </w:style>
  <w:style w:type="paragraph" w:customStyle="1" w:styleId="9">
    <w:name w:val="heading 2"/>
    <w:qFormat/>
    <w:uiPriority w:val="0"/>
    <w:pPr>
      <w:spacing w:before="180" w:after="80"/>
    </w:pPr>
    <w:rPr>
      <w:rFonts w:ascii="宋体" w:hAnsi="宋体" w:eastAsia="宋体" w:cs="Times New Roman"/>
      <w:b/>
      <w:color w:val="000000"/>
      <w:sz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265</Words>
  <Characters>277</Characters>
  <Lines>0</Lines>
  <Paragraphs>0</Paragraphs>
  <TotalTime>32</TotalTime>
  <ScaleCrop>false</ScaleCrop>
  <LinksUpToDate>false</LinksUpToDate>
  <CharactersWithSpaces>279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2026-10-22T07:07:00Z</dcterms:created>
  <dc:creator>崔若曦</dc:creator>
  <cp:lastModifiedBy>崔若曦</cp:lastModifiedBy>
  <dcterms:modified xsi:type="dcterms:W3CDTF">2026-10-22T11:27:17Z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F7A0A78004704BC5B7D9498F14CA145F_11</vt:lpwstr>
  </property>
  <property fmtid="{D5CDD505-2E9C-101B-9397-08002B2CF9AE}" pid="4" name="KSOTemplateDocerSaveRecord">
    <vt:lpwstr>eyJoZGlkIjoiNDExNDdmN2E2ZGM1NTM0ZGU1OTk5ZTExODU3ZWNlM2MiLCJ1c2VySWQiOiIxNjI3MjAyNjIwIn0=</vt:lpwstr>
  </property>
</Properties>
</file>