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E75D0">
      <w:pPr>
        <w:pStyle w:val="31"/>
        <w:jc w:val="center"/>
        <w:rPr>
          <w:rFonts w:hint="eastAsia" w:ascii="宋体" w:hAnsi="宋体" w:eastAsia="宋体" w:cs="宋体"/>
          <w:sz w:val="32"/>
          <w:szCs w:val="32"/>
        </w:rPr>
      </w:pPr>
      <w:r>
        <w:rPr>
          <w:rFonts w:hint="eastAsia" w:ascii="宋体" w:hAnsi="宋体" w:eastAsia="宋体" w:cs="宋体"/>
          <w:sz w:val="32"/>
          <w:szCs w:val="32"/>
        </w:rPr>
        <w:t>金融领域隐私保护研究综述</w:t>
      </w:r>
    </w:p>
    <w:p w14:paraId="6EED0936">
      <w:pPr>
        <w:jc w:val="both"/>
      </w:pPr>
      <w:r>
        <w:t>金融数据的研究价值不仅取决于记录数量，也取决于不同信息能否共同解释同一主体的风险。Berg等在消费信贷场景发现，数字足迹包含能够补充征信评分的信息，说明传统财务或信用记录之外的数据可能具有预测价值；该结论涉及信贷违约预测，不能直接推导上市公司违规模型的增益。</w:t>
      </w:r>
      <w:r>
        <w:rPr>
          <w:sz w:val="18"/>
          <w:vertAlign w:val="superscript"/>
        </w:rPr>
        <w:t>[1]</w:t>
      </w:r>
      <w:r>
        <w:t xml:space="preserve"> 与信息价值相伴的是信息使用的外部成本。Acquisti等从经济学角度指出，隐私披露和保护的福利后果依赖具体情境，数据主体对收集目的和后果的认识也可能不足。</w:t>
      </w:r>
      <w:r>
        <w:rPr>
          <w:sz w:val="18"/>
          <w:vertAlign w:val="superscript"/>
        </w:rPr>
        <w:t>[2]</w:t>
      </w:r>
      <w:r>
        <w:t xml:space="preserve"> 因而，金融数据协作需要同时回答“新增信息是否有用”和“谁有权看见哪些信息”。</w:t>
      </w:r>
    </w:p>
    <w:p w14:paraId="494CD815">
      <w:pPr>
        <w:jc w:val="both"/>
      </w:pPr>
      <w:r>
        <w:t>这一问题已有现实监管背景。2024年4月24日，新华网刊载《经济参考报》报道，梳理了金融机构App在个人信息收集、权限申请和隐私政策方面被通报的情况。报道能够说明金融数据处理中的合规问题持续受到关注，但其中的“隐私不合规”并不等同于已经发生大规模数据泄露，更不能证明某类学习算法存在泄露。</w:t>
      </w:r>
      <w:r>
        <w:rPr>
          <w:sz w:val="18"/>
          <w:vertAlign w:val="superscript"/>
        </w:rPr>
        <w:t>[3]</w:t>
      </w:r>
      <w:r>
        <w:t xml:space="preserve"> </w:t>
      </w:r>
      <w:r>
        <w:rPr>
          <w:highlight w:val="yellow"/>
        </w:rPr>
        <w:t>对研究背景而言，可信的切入点是数据使用边界及其技术保障，而非未经核实的泄露规模或行业损失金额</w:t>
      </w:r>
      <w:r>
        <w:t>。</w:t>
      </w:r>
    </w:p>
    <w:p w14:paraId="5BFFFF0B">
      <w:pPr>
        <w:jc w:val="both"/>
      </w:pPr>
      <w:r>
        <w:t>本文关注金融风险分析中的隐私保护，具体讨论在数据不能任意汇集时如何开展联合统计和联合建模，以及如何证明这种协作确实降低了泄露风险。企业违规的宏观成因、证券市场总体数据规模和通用风险预测算法不作展开。本文最后将文献结论映射到上市公司年度风险排序项目，区分现实需求、架构可行性与已经验证的安全能力。</w:t>
      </w:r>
    </w:p>
    <w:p w14:paraId="17D2627D">
      <w:pPr>
        <w:pStyle w:val="3"/>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1</w:t>
      </w:r>
      <w:r>
        <w:rPr>
          <w:rFonts w:ascii="Times New Roman" w:hAnsi="Times New Roman" w:eastAsia="宋体" w:cstheme="minorBidi"/>
          <w:b/>
          <w:bCs/>
          <w:color w:val="000000"/>
          <w:sz w:val="28"/>
          <w:szCs w:val="24"/>
          <w:lang w:val="en-US" w:eastAsia="en-US" w:bidi="ar-SA"/>
        </w:rPr>
        <w:t>金融数据的保护对象与治理需求</w:t>
      </w:r>
    </w:p>
    <w:p w14:paraId="0EB06D1B">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1</w:t>
      </w:r>
      <w:r>
        <w:rPr>
          <w:rFonts w:ascii="Times New Roman" w:hAnsi="Times New Roman" w:eastAsia="宋体" w:cstheme="minorBidi"/>
          <w:b/>
          <w:bCs/>
          <w:color w:val="000000"/>
          <w:sz w:val="28"/>
          <w:szCs w:val="24"/>
          <w:lang w:val="en-US" w:eastAsia="en-US" w:bidi="ar-SA"/>
        </w:rPr>
        <w:t>.1 个人信息与机构数据需要分别界定</w:t>
      </w:r>
    </w:p>
    <w:p w14:paraId="7A283ADD">
      <w:pPr>
        <w:jc w:val="both"/>
      </w:pPr>
      <w:r>
        <w:t>金融隐私首先涉及自然人的账户、财产、信用和交易行为。我国《个人信息保护法》以与已识别或可识别自然人有关的信息界定个人信息，并将金融账户列入敏感个人信息范围。该法要求目的明确、处理必要；个人同意只是合法处理基础之一，履行法定职责或法定义务等情形也需分别判断。</w:t>
      </w:r>
      <w:r>
        <w:rPr>
          <w:sz w:val="18"/>
          <w:vertAlign w:val="superscript"/>
        </w:rPr>
        <w:t>[4]</w:t>
      </w:r>
      <w:r>
        <w:t xml:space="preserve"> 因此，“金融机构的数据都属于个人隐私”和“使用金融数据一律必须取得同意”均不是准确概括。</w:t>
      </w:r>
    </w:p>
    <w:p w14:paraId="3485E0BA">
      <w:pPr>
        <w:jc w:val="both"/>
      </w:pPr>
      <w:r>
        <w:t>机构层面的未公开经营信息、客户关系、授信条件、内部风险评级和监管线索，还可能涉及商业秘密、合同保密义务及行业数据安全要求。企业年度财务报表中的公开指标，与未公开银行流水或审计工作底稿，不能仅因都用于风控就按同一保护等级处理。针对某个数据字段，应先明确数据主体、公开状态、获取权限、允许用途与保存期限，再选择保护方法。数据敏感性属于场景判断，不能由模型名称替代。</w:t>
      </w:r>
    </w:p>
    <w:p w14:paraId="7AF5C2B8">
      <w:pPr>
        <w:pStyle w:val="15"/>
        <w:jc w:val="center"/>
      </w:pPr>
      <w:r>
        <w:t>表1 金融协作研究中的保护对象</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32"/>
        <w:gridCol w:w="3168"/>
        <w:gridCol w:w="4104"/>
      </w:tblGrid>
      <w:tr w14:paraId="00FCC0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32" w:type="dxa"/>
            <w:shd w:val="clear" w:color="auto" w:fill="EDEDED"/>
            <w:tcMar>
              <w:top w:w="85" w:type="dxa"/>
              <w:left w:w="85" w:type="dxa"/>
              <w:bottom w:w="85" w:type="dxa"/>
              <w:right w:w="85" w:type="dxa"/>
            </w:tcMar>
            <w:vAlign w:val="center"/>
          </w:tcPr>
          <w:p w14:paraId="4B55B7D1">
            <w:pPr>
              <w:keepNext/>
              <w:spacing w:before="60" w:after="60" w:line="320" w:lineRule="exact"/>
              <w:ind w:firstLine="0"/>
              <w:jc w:val="left"/>
            </w:pPr>
            <w:r>
              <w:rPr>
                <w:rFonts w:ascii="Times New Roman" w:hAnsi="Times New Roman" w:eastAsia="宋体"/>
                <w:b/>
                <w:color w:val="000000"/>
                <w:sz w:val="21"/>
              </w:rPr>
              <w:t>数据对象</w:t>
            </w:r>
          </w:p>
        </w:tc>
        <w:tc>
          <w:tcPr>
            <w:tcW w:w="3168" w:type="dxa"/>
            <w:shd w:val="clear" w:color="auto" w:fill="EDEDED"/>
            <w:tcMar>
              <w:top w:w="85" w:type="dxa"/>
              <w:left w:w="85" w:type="dxa"/>
              <w:bottom w:w="85" w:type="dxa"/>
              <w:right w:w="85" w:type="dxa"/>
            </w:tcMar>
            <w:vAlign w:val="center"/>
          </w:tcPr>
          <w:p w14:paraId="69225E8E">
            <w:pPr>
              <w:keepNext/>
              <w:spacing w:before="60" w:after="60" w:line="320" w:lineRule="exact"/>
              <w:ind w:firstLine="0"/>
              <w:jc w:val="left"/>
            </w:pPr>
            <w:r>
              <w:rPr>
                <w:rFonts w:ascii="Times New Roman" w:hAnsi="Times New Roman" w:eastAsia="宋体"/>
                <w:b/>
                <w:color w:val="000000"/>
                <w:sz w:val="21"/>
              </w:rPr>
              <w:t>主要保护利益</w:t>
            </w:r>
          </w:p>
        </w:tc>
        <w:tc>
          <w:tcPr>
            <w:tcW w:w="4104" w:type="dxa"/>
            <w:shd w:val="clear" w:color="auto" w:fill="EDEDED"/>
            <w:tcMar>
              <w:top w:w="85" w:type="dxa"/>
              <w:left w:w="85" w:type="dxa"/>
              <w:bottom w:w="85" w:type="dxa"/>
              <w:right w:w="85" w:type="dxa"/>
            </w:tcMar>
            <w:vAlign w:val="center"/>
          </w:tcPr>
          <w:p w14:paraId="22B33BE8">
            <w:pPr>
              <w:keepNext/>
              <w:spacing w:before="60" w:after="60" w:line="320" w:lineRule="exact"/>
              <w:ind w:firstLine="0"/>
              <w:jc w:val="left"/>
            </w:pPr>
            <w:r>
              <w:rPr>
                <w:rFonts w:ascii="Times New Roman" w:hAnsi="Times New Roman" w:eastAsia="宋体"/>
                <w:b/>
                <w:color w:val="000000"/>
                <w:sz w:val="21"/>
              </w:rPr>
              <w:t>建模时的关键判断</w:t>
            </w:r>
          </w:p>
        </w:tc>
      </w:tr>
      <w:tr w14:paraId="2A2C3B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44B96DF3">
            <w:pPr>
              <w:keepNext w:val="0"/>
              <w:spacing w:before="60" w:after="60" w:line="320" w:lineRule="exact"/>
              <w:ind w:firstLine="0"/>
              <w:jc w:val="left"/>
            </w:pPr>
            <w:r>
              <w:rPr>
                <w:rFonts w:ascii="Times New Roman" w:hAnsi="Times New Roman" w:eastAsia="宋体"/>
                <w:b w:val="0"/>
                <w:color w:val="000000"/>
                <w:sz w:val="21"/>
              </w:rPr>
              <w:t>自然人身份与账户信息</w:t>
            </w:r>
          </w:p>
        </w:tc>
        <w:tc>
          <w:tcPr>
            <w:tcW w:w="3168" w:type="dxa"/>
            <w:tcMar>
              <w:top w:w="85" w:type="dxa"/>
              <w:left w:w="85" w:type="dxa"/>
              <w:bottom w:w="85" w:type="dxa"/>
              <w:right w:w="85" w:type="dxa"/>
            </w:tcMar>
            <w:vAlign w:val="center"/>
          </w:tcPr>
          <w:p w14:paraId="391F9D68">
            <w:pPr>
              <w:keepNext w:val="0"/>
              <w:spacing w:before="60" w:after="60" w:line="320" w:lineRule="exact"/>
              <w:ind w:firstLine="0"/>
              <w:jc w:val="left"/>
            </w:pPr>
            <w:r>
              <w:rPr>
                <w:rFonts w:ascii="Times New Roman" w:hAnsi="Times New Roman" w:eastAsia="宋体"/>
                <w:b w:val="0"/>
                <w:color w:val="000000"/>
                <w:sz w:val="21"/>
              </w:rPr>
              <w:t>个人信息权益和财产安全</w:t>
            </w:r>
          </w:p>
        </w:tc>
        <w:tc>
          <w:tcPr>
            <w:tcW w:w="4104" w:type="dxa"/>
            <w:tcMar>
              <w:top w:w="85" w:type="dxa"/>
              <w:left w:w="85" w:type="dxa"/>
              <w:bottom w:w="85" w:type="dxa"/>
              <w:right w:w="85" w:type="dxa"/>
            </w:tcMar>
            <w:vAlign w:val="center"/>
          </w:tcPr>
          <w:p w14:paraId="6FEE7278">
            <w:pPr>
              <w:keepNext w:val="0"/>
              <w:spacing w:before="60" w:after="60" w:line="320" w:lineRule="exact"/>
              <w:ind w:firstLine="0"/>
              <w:jc w:val="left"/>
            </w:pPr>
            <w:r>
              <w:rPr>
                <w:rFonts w:ascii="Times New Roman" w:hAnsi="Times New Roman" w:eastAsia="宋体"/>
                <w:b w:val="0"/>
                <w:color w:val="000000"/>
                <w:sz w:val="21"/>
              </w:rPr>
              <w:t>是否能够关联自然人，是否涉及敏感个人信息</w:t>
            </w:r>
          </w:p>
        </w:tc>
      </w:tr>
      <w:tr w14:paraId="4B0624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2B921C81">
            <w:pPr>
              <w:keepNext w:val="0"/>
              <w:spacing w:before="60" w:after="60" w:line="320" w:lineRule="exact"/>
              <w:ind w:firstLine="0"/>
              <w:jc w:val="left"/>
            </w:pPr>
            <w:r>
              <w:rPr>
                <w:rFonts w:ascii="Times New Roman" w:hAnsi="Times New Roman" w:eastAsia="宋体"/>
                <w:b w:val="0"/>
                <w:color w:val="000000"/>
                <w:sz w:val="21"/>
              </w:rPr>
              <w:t>企业未公开经营与交易记录</w:t>
            </w:r>
          </w:p>
        </w:tc>
        <w:tc>
          <w:tcPr>
            <w:tcW w:w="3168" w:type="dxa"/>
            <w:tcMar>
              <w:top w:w="85" w:type="dxa"/>
              <w:left w:w="85" w:type="dxa"/>
              <w:bottom w:w="85" w:type="dxa"/>
              <w:right w:w="85" w:type="dxa"/>
            </w:tcMar>
            <w:vAlign w:val="center"/>
          </w:tcPr>
          <w:p w14:paraId="0C3A37A3">
            <w:pPr>
              <w:keepNext w:val="0"/>
              <w:spacing w:before="60" w:after="60" w:line="320" w:lineRule="exact"/>
              <w:ind w:firstLine="0"/>
              <w:jc w:val="left"/>
            </w:pPr>
            <w:r>
              <w:rPr>
                <w:rFonts w:ascii="Times New Roman" w:hAnsi="Times New Roman" w:eastAsia="宋体"/>
                <w:b w:val="0"/>
                <w:color w:val="000000"/>
                <w:sz w:val="21"/>
              </w:rPr>
              <w:t>商业利益和业务保密</w:t>
            </w:r>
          </w:p>
        </w:tc>
        <w:tc>
          <w:tcPr>
            <w:tcW w:w="4104" w:type="dxa"/>
            <w:tcMar>
              <w:top w:w="85" w:type="dxa"/>
              <w:left w:w="85" w:type="dxa"/>
              <w:bottom w:w="85" w:type="dxa"/>
              <w:right w:w="85" w:type="dxa"/>
            </w:tcMar>
            <w:vAlign w:val="center"/>
          </w:tcPr>
          <w:p w14:paraId="072E5BFD">
            <w:pPr>
              <w:keepNext w:val="0"/>
              <w:spacing w:before="60" w:after="60" w:line="320" w:lineRule="exact"/>
              <w:ind w:firstLine="0"/>
              <w:jc w:val="left"/>
            </w:pPr>
            <w:r>
              <w:rPr>
                <w:rFonts w:ascii="Times New Roman" w:hAnsi="Times New Roman" w:eastAsia="宋体"/>
                <w:b w:val="0"/>
                <w:color w:val="000000"/>
                <w:sz w:val="21"/>
              </w:rPr>
              <w:t>数据提供方的处理权限与合同用途</w:t>
            </w:r>
          </w:p>
        </w:tc>
      </w:tr>
      <w:tr w14:paraId="354362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1E4DC59F">
            <w:pPr>
              <w:keepNext w:val="0"/>
              <w:spacing w:before="60" w:after="60" w:line="320" w:lineRule="exact"/>
              <w:ind w:firstLine="0"/>
              <w:jc w:val="left"/>
            </w:pPr>
            <w:r>
              <w:rPr>
                <w:rFonts w:ascii="Times New Roman" w:hAnsi="Times New Roman" w:eastAsia="宋体"/>
                <w:b w:val="0"/>
                <w:color w:val="000000"/>
                <w:sz w:val="21"/>
              </w:rPr>
              <w:t>内部评级与监管核查线索</w:t>
            </w:r>
          </w:p>
        </w:tc>
        <w:tc>
          <w:tcPr>
            <w:tcW w:w="3168" w:type="dxa"/>
            <w:tcMar>
              <w:top w:w="85" w:type="dxa"/>
              <w:left w:w="85" w:type="dxa"/>
              <w:bottom w:w="85" w:type="dxa"/>
              <w:right w:w="85" w:type="dxa"/>
            </w:tcMar>
            <w:vAlign w:val="center"/>
          </w:tcPr>
          <w:p w14:paraId="1AC04845">
            <w:pPr>
              <w:keepNext w:val="0"/>
              <w:spacing w:before="60" w:after="60" w:line="320" w:lineRule="exact"/>
              <w:ind w:firstLine="0"/>
              <w:jc w:val="left"/>
            </w:pPr>
            <w:r>
              <w:rPr>
                <w:rFonts w:ascii="Times New Roman" w:hAnsi="Times New Roman" w:eastAsia="宋体"/>
                <w:b w:val="0"/>
                <w:color w:val="000000"/>
                <w:sz w:val="21"/>
              </w:rPr>
              <w:t>风控策略与调查保密</w:t>
            </w:r>
          </w:p>
        </w:tc>
        <w:tc>
          <w:tcPr>
            <w:tcW w:w="4104" w:type="dxa"/>
            <w:tcMar>
              <w:top w:w="85" w:type="dxa"/>
              <w:left w:w="85" w:type="dxa"/>
              <w:bottom w:w="85" w:type="dxa"/>
              <w:right w:w="85" w:type="dxa"/>
            </w:tcMar>
            <w:vAlign w:val="center"/>
          </w:tcPr>
          <w:p w14:paraId="4B46F8AB">
            <w:pPr>
              <w:keepNext w:val="0"/>
              <w:spacing w:before="60" w:after="60" w:line="320" w:lineRule="exact"/>
              <w:ind w:firstLine="0"/>
              <w:jc w:val="left"/>
            </w:pPr>
            <w:r>
              <w:rPr>
                <w:rFonts w:ascii="Times New Roman" w:hAnsi="Times New Roman" w:eastAsia="宋体"/>
                <w:b w:val="0"/>
                <w:color w:val="000000"/>
                <w:sz w:val="21"/>
              </w:rPr>
              <w:t>标签、名单和解释结果是否允许披露</w:t>
            </w:r>
          </w:p>
        </w:tc>
      </w:tr>
      <w:tr w14:paraId="369E78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4D3D488B">
            <w:pPr>
              <w:keepNext w:val="0"/>
              <w:spacing w:before="60" w:after="60" w:line="320" w:lineRule="exact"/>
              <w:ind w:firstLine="0"/>
              <w:jc w:val="left"/>
            </w:pPr>
            <w:r>
              <w:rPr>
                <w:rFonts w:ascii="Times New Roman" w:hAnsi="Times New Roman" w:eastAsia="宋体"/>
                <w:b w:val="0"/>
                <w:color w:val="000000"/>
                <w:sz w:val="21"/>
              </w:rPr>
              <w:t>依法公开的公司信息</w:t>
            </w:r>
          </w:p>
        </w:tc>
        <w:tc>
          <w:tcPr>
            <w:tcW w:w="3168" w:type="dxa"/>
            <w:tcMar>
              <w:top w:w="85" w:type="dxa"/>
              <w:left w:w="85" w:type="dxa"/>
              <w:bottom w:w="85" w:type="dxa"/>
              <w:right w:w="85" w:type="dxa"/>
            </w:tcMar>
            <w:vAlign w:val="center"/>
          </w:tcPr>
          <w:p w14:paraId="58094A23">
            <w:pPr>
              <w:keepNext w:val="0"/>
              <w:spacing w:before="60" w:after="60" w:line="320" w:lineRule="exact"/>
              <w:ind w:firstLine="0"/>
              <w:jc w:val="left"/>
            </w:pPr>
            <w:r>
              <w:rPr>
                <w:rFonts w:ascii="Times New Roman" w:hAnsi="Times New Roman" w:eastAsia="宋体"/>
                <w:b w:val="0"/>
                <w:color w:val="000000"/>
                <w:sz w:val="21"/>
              </w:rPr>
              <w:t>合理使用、关联信息保护与来源授权</w:t>
            </w:r>
          </w:p>
        </w:tc>
        <w:tc>
          <w:tcPr>
            <w:tcW w:w="4104" w:type="dxa"/>
            <w:tcMar>
              <w:top w:w="85" w:type="dxa"/>
              <w:left w:w="85" w:type="dxa"/>
              <w:bottom w:w="85" w:type="dxa"/>
              <w:right w:w="85" w:type="dxa"/>
            </w:tcMar>
            <w:vAlign w:val="center"/>
          </w:tcPr>
          <w:p w14:paraId="4E25FBF9">
            <w:pPr>
              <w:keepNext w:val="0"/>
              <w:spacing w:before="60" w:after="60" w:line="320" w:lineRule="exact"/>
              <w:ind w:firstLine="0"/>
              <w:jc w:val="left"/>
            </w:pPr>
            <w:r>
              <w:rPr>
                <w:rFonts w:ascii="Times New Roman" w:hAnsi="Times New Roman" w:eastAsia="宋体"/>
                <w:b w:val="0"/>
                <w:color w:val="000000"/>
                <w:sz w:val="21"/>
              </w:rPr>
              <w:t>公开不等于所有再利用均无限制</w:t>
            </w:r>
          </w:p>
        </w:tc>
      </w:tr>
    </w:tbl>
    <w:p w14:paraId="2ECFF4AA">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1</w:t>
      </w:r>
      <w:r>
        <w:rPr>
          <w:rFonts w:ascii="Times New Roman" w:hAnsi="Times New Roman" w:eastAsia="宋体" w:cstheme="minorBidi"/>
          <w:b/>
          <w:bCs/>
          <w:color w:val="000000"/>
          <w:sz w:val="28"/>
          <w:szCs w:val="24"/>
          <w:lang w:val="en-US" w:eastAsia="en-US" w:bidi="ar-SA"/>
        </w:rPr>
        <w:t>.2 国家层面的制度信号</w:t>
      </w:r>
    </w:p>
    <w:p w14:paraId="4B24A606">
      <w:pPr>
        <w:jc w:val="both"/>
      </w:pPr>
      <w:r>
        <w:t>我国金融数据治理已经从单一的信息保密要求延伸到组织责任、共享使用、委托处理和全生命周期控制。《银行保险机构数据安全管理办法》要求对数据共享和委托处理实施管理，并明确访问控制与审计要求；其适用对象是规定范围内的银行保险机构。</w:t>
      </w:r>
      <w:r>
        <w:rPr>
          <w:sz w:val="18"/>
          <w:vertAlign w:val="superscript"/>
        </w:rPr>
        <w:t>[5]</w:t>
      </w:r>
      <w:r>
        <w:t xml:space="preserve"> 《中国人民银行业务领域数据安全管理办法》于2025年5月1日公布、2025年6月30日起施行，覆盖人民银行职责范围内的相关业务数据处理。</w:t>
      </w:r>
      <w:r>
        <w:rPr>
          <w:sz w:val="18"/>
          <w:vertAlign w:val="superscript"/>
        </w:rPr>
        <w:t>[6]</w:t>
      </w:r>
      <w:r>
        <w:t xml:space="preserve"> 证券领域还应结合2023年5月1日起实施的《证券期货业网络和信息安全管理办法》，其中明确涉及投资者个人信息保护。</w:t>
      </w:r>
      <w:r>
        <w:rPr>
          <w:sz w:val="18"/>
          <w:vertAlign w:val="superscript"/>
        </w:rPr>
        <w:t>[7]</w:t>
      </w:r>
    </w:p>
    <w:p w14:paraId="3778B8DD">
      <w:pPr>
        <w:jc w:val="both"/>
      </w:pPr>
      <w:r>
        <w:t>这些制度可支撑“金融协作必须考虑数据处理边界”的研究背景，但不能用银行保险业规则直接推定所有上市公司的每项数据均受相同义务约束。对于企业违规排序项目，应先区分数据提供机构与被评分企业的身份，明确将来拟接入的是公开信息、机构自有业务数据，还是依法取得的监管数据。</w:t>
      </w:r>
    </w:p>
    <w:p w14:paraId="53608D70">
      <w:pPr>
        <w:jc w:val="both"/>
      </w:pPr>
      <w:r>
        <w:t>另一项可用于汇报的国家级新闻是新华社2025年4月17日关于六部门印发金融业数据跨境流动合规指南的报道。其意义在于同时强调数据流动便利和保护措施，体现“有条件协作”的政策方向；由于报道针对跨境流动，不能用它证明境内多节点实验已经合规。</w:t>
      </w:r>
      <w:r>
        <w:rPr>
          <w:sz w:val="18"/>
          <w:vertAlign w:val="superscript"/>
        </w:rPr>
        <w:t>[8]</w:t>
      </w:r>
      <w:r>
        <w:t xml:space="preserve"> 技术标准方面，JR/T 0196—2020《多方安全计算金融应用技术规范》明确面向金融应用的基础、安全和性能要求，说明隐私计算需要接受可检查的工程约束。</w:t>
      </w:r>
      <w:r>
        <w:rPr>
          <w:sz w:val="18"/>
          <w:vertAlign w:val="superscript"/>
        </w:rPr>
        <w:t>[9]</w:t>
      </w:r>
    </w:p>
    <w:p w14:paraId="300C10A4">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1</w:t>
      </w:r>
      <w:r>
        <w:rPr>
          <w:rFonts w:ascii="Times New Roman" w:hAnsi="Times New Roman" w:eastAsia="宋体" w:cstheme="minorBidi"/>
          <w:b/>
          <w:bCs/>
          <w:color w:val="000000"/>
          <w:sz w:val="28"/>
          <w:szCs w:val="24"/>
          <w:lang w:val="en-US" w:eastAsia="en-US" w:bidi="ar-SA"/>
        </w:rPr>
        <w:t>.3 从隐藏身份转向控制信息推断</w:t>
      </w:r>
    </w:p>
    <w:p w14:paraId="18835B99">
      <w:pPr>
        <w:jc w:val="both"/>
      </w:pPr>
      <w:r>
        <w:t>删除姓名或将企业代码替换为哈希值，并不当然消除隐私风险。外部公开记录、稀有交易模式和跨年度轨迹可能重新建立关联；发布统计量也可能暴露成员关系或敏感属性。Dwork等将针对统计发布的风险归纳为重构与追踪等攻击，提示保护对象不仅包括原始表格，还包括看似无害的分析结果。</w:t>
      </w:r>
      <w:r>
        <w:rPr>
          <w:sz w:val="18"/>
          <w:vertAlign w:val="superscript"/>
        </w:rPr>
        <w:t>[10]</w:t>
      </w:r>
      <w:r>
        <w:t xml:space="preserve"> 据此，金融协作系统应审查标识对齐、训练交互、模型访问和结果发布的全过程，而不能只检查是否传输了原始文件。</w:t>
      </w:r>
    </w:p>
    <w:p w14:paraId="4FAC136D">
      <w:pPr>
        <w:pStyle w:val="3"/>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2</w:t>
      </w:r>
      <w:r>
        <w:rPr>
          <w:rFonts w:ascii="Times New Roman" w:hAnsi="Times New Roman" w:eastAsia="宋体" w:cstheme="minorBidi"/>
          <w:b/>
          <w:bCs/>
          <w:color w:val="000000"/>
          <w:sz w:val="28"/>
          <w:szCs w:val="24"/>
          <w:lang w:val="en-US" w:eastAsia="en-US" w:bidi="ar-SA"/>
        </w:rPr>
        <w:t xml:space="preserve"> 主要技术路线及其保护边界</w:t>
      </w:r>
    </w:p>
    <w:p w14:paraId="0B7A60B2">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2</w:t>
      </w:r>
      <w:r>
        <w:rPr>
          <w:rFonts w:ascii="Times New Roman" w:hAnsi="Times New Roman" w:eastAsia="宋体" w:cstheme="minorBidi"/>
          <w:b/>
          <w:bCs/>
          <w:color w:val="000000"/>
          <w:sz w:val="28"/>
          <w:szCs w:val="24"/>
          <w:lang w:val="en-US" w:eastAsia="en-US" w:bidi="ar-SA"/>
        </w:rPr>
        <w:t>.1 联邦学习与分割学习的功能定位</w:t>
      </w:r>
    </w:p>
    <w:p w14:paraId="4855FD9F">
      <w:pPr>
        <w:jc w:val="both"/>
      </w:pPr>
      <w:r>
        <w:t>联邦学习（federated learning，FL）是一类协作建模安排。横向联邦学习通常对应参与方持有相似字段、不同样本，例如不同银行的同类贷款；纵向联邦学习（vertical federated learning，VFL）通常对应参与方持有同一批或部分重叠主体的不同字段，例如银行信用信息与另一机构的经营信息。</w:t>
      </w:r>
      <w:r>
        <w:rPr>
          <w:sz w:val="18"/>
          <w:vertAlign w:val="superscript"/>
        </w:rPr>
        <w:t>[11]</w:t>
      </w:r>
      <w:r>
        <w:t xml:space="preserve"> 分割学习（split learning，SL）则按模型计算层划分任务，在分割点交换中间表示及训练所需反馈。二者分类依据不同，纵向联邦学习可以采用分割神经网络实现，不能把所有分节点模型都直接称为安全的联邦学习系统。</w:t>
      </w:r>
    </w:p>
    <w:p w14:paraId="3DA3522D">
      <w:pPr>
        <w:jc w:val="both"/>
      </w:pPr>
      <w:r>
        <w:t>架构决定数据如何参与计算，却不自动给出泄露上界。2025年的VFL结构化综述将样本对齐、训练、推断、通信和隐私列为相互关联的问题。</w:t>
      </w:r>
      <w:r>
        <w:rPr>
          <w:sz w:val="18"/>
          <w:vertAlign w:val="superscript"/>
        </w:rPr>
        <w:t>[12]</w:t>
      </w:r>
      <w:r>
        <w:t xml:space="preserve"> 若节点只是同一进程中的不同函数，主要证明的是计算结构的可分解性；若不同机构独立控制节点，还需说明谁持有标签、谁管理密钥、谁能查看消息、是否允许串谋，以及节点退出时如何处理。</w:t>
      </w:r>
    </w:p>
    <w:p w14:paraId="5C745628">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2</w:t>
      </w:r>
      <w:r>
        <w:rPr>
          <w:rFonts w:ascii="Times New Roman" w:hAnsi="Times New Roman" w:eastAsia="宋体" w:cstheme="minorBidi"/>
          <w:b/>
          <w:bCs/>
          <w:color w:val="000000"/>
          <w:sz w:val="28"/>
          <w:szCs w:val="24"/>
          <w:lang w:val="en-US" w:eastAsia="en-US" w:bidi="ar-SA"/>
        </w:rPr>
        <w:t>.2 梯度和中间表示为什么需要保护</w:t>
      </w:r>
    </w:p>
    <w:p w14:paraId="1D27A4F8">
      <w:pPr>
        <w:jc w:val="both"/>
      </w:pPr>
      <w:r>
        <w:t>Zhu等证明，在特定训练与可观测条件下，共享梯度可被用于重构训练样本；其图像和文本实验提供了风险机制证据，并非所有金融表格数据都能同样恢复的证明。</w:t>
      </w:r>
      <w:r>
        <w:rPr>
          <w:sz w:val="18"/>
          <w:vertAlign w:val="superscript"/>
        </w:rPr>
        <w:t>[13]</w:t>
      </w:r>
      <w:r>
        <w:t xml:space="preserve"> Pasquini等进一步研究分割学习，展示恶意服务器能够主动影响训练过程，使客户端表示更容易被反推。</w:t>
      </w:r>
      <w:r>
        <w:rPr>
          <w:sz w:val="18"/>
          <w:vertAlign w:val="superscript"/>
        </w:rPr>
        <w:t>[14]</w:t>
      </w:r>
      <w:r>
        <w:t xml:space="preserve"> Fu等则针对VFL分析了利用本地模型和梯度信息推断私有标签的攻击。</w:t>
      </w:r>
      <w:r>
        <w:rPr>
          <w:sz w:val="18"/>
          <w:vertAlign w:val="superscript"/>
        </w:rPr>
        <w:t>[15]</w:t>
      </w:r>
      <w:r>
        <w:t xml:space="preserve"> 三类研究分别揭示原始特征、表示和标签的风险，因此“只传向量”“只传梯度”均不足以证明保密。</w:t>
      </w:r>
    </w:p>
    <w:p w14:paraId="173040D6">
      <w:pPr>
        <w:jc w:val="both"/>
      </w:pPr>
      <w:r>
        <w:t>金融场景应将攻击者能力写入评价前提。例如，诚实但好奇的融合端遵守计算协议，却保存并分析收到的表示；恶意参与方可能修改训练过程；多个节点串谋则会获得更多联合视图。训练前的匹配标识、缺失标志和查询频率也可能暴露某企业与某机构的业务联系。本文将这些视为应检查的潜在风险，而非已经发生在现有项目中的攻击事件。</w:t>
      </w:r>
    </w:p>
    <w:p w14:paraId="6B3FD81E">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2</w:t>
      </w:r>
      <w:r>
        <w:rPr>
          <w:rFonts w:ascii="Times New Roman" w:hAnsi="Times New Roman" w:eastAsia="宋体" w:cstheme="minorBidi"/>
          <w:b/>
          <w:bCs/>
          <w:color w:val="000000"/>
          <w:sz w:val="28"/>
          <w:szCs w:val="24"/>
          <w:lang w:val="en-US" w:eastAsia="en-US" w:bidi="ar-SA"/>
        </w:rPr>
        <w:t>.3 安全多方计算与同态加密</w:t>
      </w:r>
    </w:p>
    <w:p w14:paraId="0ECBC45E">
      <w:pPr>
        <w:jc w:val="both"/>
      </w:pPr>
      <w:r>
        <w:t>安全多方计算（secure multiparty computation，MPC）使参与方在规定的攻击与串谋假设下计算约定函数，尽量避免透露函数输出之外的输入信息。安全聚合是其中较特定的一类功能。Bonawitz等设计的协议使服务器获得参与方向量的聚合结果，用于隐藏单方更新；它不是任意非线性模型都能直接套用的通用组件。</w:t>
      </w:r>
      <w:r>
        <w:rPr>
          <w:sz w:val="18"/>
          <w:vertAlign w:val="superscript"/>
        </w:rPr>
        <w:t>[16]</w:t>
      </w:r>
      <w:r>
        <w:t xml:space="preserve"> 若融合模型必须逐家企业接收三个节点的不同表示，简单相加会改变模型语义，需要另行设计受保护的融合计算。</w:t>
      </w:r>
    </w:p>
    <w:p w14:paraId="3A3253B5">
      <w:pPr>
        <w:jc w:val="both"/>
      </w:pPr>
      <w:r>
        <w:t>同态加密（homomorphic encryption，HE）允许在密文上执行支持的运算。SecureBoost将密码学机制用于纵向划分数据的树提升过程，为不集中原始特征的联合建模提供代表性方案。其“无损”主要描述在论文设定下相对相应集中式算法的学习结果，不应解释为没有任何信息泄露、没有通信开销或适合所有神经网络。</w:t>
      </w:r>
      <w:r>
        <w:rPr>
          <w:sz w:val="18"/>
          <w:vertAlign w:val="superscript"/>
        </w:rPr>
        <w:t>[17]</w:t>
      </w:r>
      <w:r>
        <w:t xml:space="preserve"> 密钥归属、解密位置、允许输出和串谋假设都影响保护是否成立。</w:t>
      </w:r>
    </w:p>
    <w:p w14:paraId="1128457F">
      <w:pPr>
        <w:jc w:val="both"/>
      </w:pPr>
      <w:r>
        <w:t>这类技术主要解决计算过程可见性，通常需要额外的通信、密文表示或协议交互。即使计算协议安全，获准接收的最终风险分数也可能包含敏感推断，因而还需控制输出粒度与查询权限。传输层加密同样只能保护链路：如果接收端本来就获准解密，它无法阻止该接收端分析解密后的向量。</w:t>
      </w:r>
    </w:p>
    <w:p w14:paraId="3C3D72C1">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2</w:t>
      </w:r>
      <w:r>
        <w:rPr>
          <w:rFonts w:ascii="Times New Roman" w:hAnsi="Times New Roman" w:eastAsia="宋体" w:cstheme="minorBidi"/>
          <w:b/>
          <w:bCs/>
          <w:color w:val="000000"/>
          <w:sz w:val="28"/>
          <w:szCs w:val="24"/>
          <w:lang w:val="en-US" w:eastAsia="en-US" w:bidi="ar-SA"/>
        </w:rPr>
        <w:t>.4 差分隐私及其统计代价</w:t>
      </w:r>
    </w:p>
    <w:p w14:paraId="69FE7979">
      <w:pPr>
        <w:jc w:val="both"/>
      </w:pPr>
      <w:r>
        <w:t>差分隐私（differential privacy，DP）通过比较相邻数据集下输出分布的变化，约束单个保护单位对发布结果的影响。其保证涉及隐私参数、相邻关系和随机机制；任意加入噪声、降低数值精度或缩短向量都不等于满足DP。多次发布还需要累计核算隐私损失。</w:t>
      </w:r>
      <w:r>
        <w:rPr>
          <w:sz w:val="18"/>
          <w:vertAlign w:val="superscript"/>
        </w:rPr>
        <w:t>[18]</w:t>
      </w:r>
      <w:r>
        <w:t xml:space="preserve"> 对金融数据，保护单位可以是一条交易、一个客户的全部交易，或某项研究定义的企业记录。单位不同，保证含义和所需扰动不能直接比较。</w:t>
      </w:r>
    </w:p>
    <w:p w14:paraId="27E515D6">
      <w:pPr>
        <w:jc w:val="both"/>
      </w:pPr>
      <w:r>
        <w:t>NIST于2025年发布的评估指南强调，隐私参数以外的系统实现和保护单位同样决定保证的实际意义。</w:t>
      </w:r>
      <w:r>
        <w:rPr>
          <w:sz w:val="18"/>
          <w:vertAlign w:val="superscript"/>
        </w:rPr>
        <w:t>[19]</w:t>
      </w:r>
      <w:r>
        <w:t xml:space="preserve"> 因而，若试验采用企业年度样本，应说明仅保护单条年度记录，还是希望保护同一企业全部年份；不能把前者的预算直接描述为后者的保障。采用中心化DP时，还应明确受信任处理者能看到哪些数据；若目标是防止融合端观察原始表示，保护机制必须覆盖该融合端实际看到的消息。</w:t>
      </w:r>
    </w:p>
    <w:p w14:paraId="2116799D">
      <w:pPr>
        <w:jc w:val="both"/>
      </w:pPr>
      <w:r>
        <w:t>DP可能改变排序边界、稀有类别的识别和小群体统计精度。Byrd与Polychroniadou将DP和MPC结合用于金融联邦学习，展示了计算保密与输出隐私可以互补，但噪声造成的效用损失仍需评估。</w:t>
      </w:r>
      <w:r>
        <w:rPr>
          <w:sz w:val="18"/>
          <w:vertAlign w:val="superscript"/>
        </w:rPr>
        <w:t>[20]</w:t>
      </w:r>
      <w:r>
        <w:t xml:space="preserve"> 因此，不能只报告“加密后准确率不变”，也不能只报告一个隐私参数而省略攻击者视图与完整发布次数。</w:t>
      </w:r>
    </w:p>
    <w:p w14:paraId="122EF280">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2</w:t>
      </w:r>
      <w:r>
        <w:rPr>
          <w:rFonts w:ascii="Times New Roman" w:hAnsi="Times New Roman" w:eastAsia="宋体" w:cstheme="minorBidi"/>
          <w:b/>
          <w:bCs/>
          <w:color w:val="000000"/>
          <w:sz w:val="28"/>
          <w:szCs w:val="24"/>
          <w:lang w:val="en-US" w:eastAsia="en-US" w:bidi="ar-SA"/>
        </w:rPr>
        <w:t>.5 技术组合与治理约束</w:t>
      </w:r>
    </w:p>
    <w:p w14:paraId="5B5219F1">
      <w:pPr>
        <w:jc w:val="both"/>
      </w:pPr>
      <w:r>
        <w:t>隐私集合求交（private set intersection，PSI）适用于在协议允许的泄露范围内识别重叠主体；它不负责后续训练的安全。可信执行环境（trusted execution environment，TEE）通过受保护的执行区域限制外部软件对运算内容的访问，其可信基础转向硬件、远程证明和实现安全。FATF对金融协作分析技术的梳理表明，技术方案须置于数据保护制度与具体用途之内。</w:t>
      </w:r>
      <w:r>
        <w:rPr>
          <w:sz w:val="18"/>
          <w:vertAlign w:val="superscript"/>
        </w:rPr>
        <w:t>[21]</w:t>
      </w:r>
      <w:r>
        <w:t xml:space="preserve"> 实际选型应从需要完成的功能及最小披露目标出发，避免因为某种技术流行而叠加组件。</w:t>
      </w:r>
    </w:p>
    <w:p w14:paraId="75190A32">
      <w:pPr>
        <w:pStyle w:val="15"/>
        <w:jc w:val="center"/>
      </w:pPr>
      <w:r>
        <w:t>表2 金融隐私保护方法的功能比较</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32"/>
        <w:gridCol w:w="3168"/>
        <w:gridCol w:w="4104"/>
      </w:tblGrid>
      <w:tr w14:paraId="0DF46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32" w:type="dxa"/>
            <w:shd w:val="clear" w:color="auto" w:fill="EDEDED"/>
            <w:tcMar>
              <w:top w:w="85" w:type="dxa"/>
              <w:left w:w="85" w:type="dxa"/>
              <w:bottom w:w="85" w:type="dxa"/>
              <w:right w:w="85" w:type="dxa"/>
            </w:tcMar>
            <w:vAlign w:val="center"/>
          </w:tcPr>
          <w:p w14:paraId="1AAC85FD">
            <w:pPr>
              <w:keepNext/>
              <w:spacing w:before="60" w:after="60" w:line="320" w:lineRule="exact"/>
              <w:ind w:firstLine="0"/>
              <w:jc w:val="left"/>
            </w:pPr>
            <w:r>
              <w:rPr>
                <w:rFonts w:ascii="Times New Roman" w:hAnsi="Times New Roman" w:eastAsia="宋体"/>
                <w:b/>
                <w:color w:val="000000"/>
                <w:sz w:val="21"/>
              </w:rPr>
              <w:t>方法</w:t>
            </w:r>
          </w:p>
        </w:tc>
        <w:tc>
          <w:tcPr>
            <w:tcW w:w="3168" w:type="dxa"/>
            <w:shd w:val="clear" w:color="auto" w:fill="EDEDED"/>
            <w:tcMar>
              <w:top w:w="85" w:type="dxa"/>
              <w:left w:w="85" w:type="dxa"/>
              <w:bottom w:w="85" w:type="dxa"/>
              <w:right w:w="85" w:type="dxa"/>
            </w:tcMar>
            <w:vAlign w:val="center"/>
          </w:tcPr>
          <w:p w14:paraId="1CD45BA9">
            <w:pPr>
              <w:keepNext/>
              <w:spacing w:before="60" w:after="60" w:line="320" w:lineRule="exact"/>
              <w:ind w:firstLine="0"/>
              <w:jc w:val="left"/>
            </w:pPr>
            <w:r>
              <w:rPr>
                <w:rFonts w:ascii="Times New Roman" w:hAnsi="Times New Roman" w:eastAsia="宋体"/>
                <w:b/>
                <w:color w:val="000000"/>
                <w:sz w:val="21"/>
              </w:rPr>
              <w:t>主要解决的问题</w:t>
            </w:r>
          </w:p>
        </w:tc>
        <w:tc>
          <w:tcPr>
            <w:tcW w:w="4104" w:type="dxa"/>
            <w:shd w:val="clear" w:color="auto" w:fill="EDEDED"/>
            <w:tcMar>
              <w:top w:w="85" w:type="dxa"/>
              <w:left w:w="85" w:type="dxa"/>
              <w:bottom w:w="85" w:type="dxa"/>
              <w:right w:w="85" w:type="dxa"/>
            </w:tcMar>
            <w:vAlign w:val="center"/>
          </w:tcPr>
          <w:p w14:paraId="2365521B">
            <w:pPr>
              <w:keepNext/>
              <w:spacing w:before="60" w:after="60" w:line="320" w:lineRule="exact"/>
              <w:ind w:firstLine="0"/>
              <w:jc w:val="left"/>
            </w:pPr>
            <w:r>
              <w:rPr>
                <w:rFonts w:ascii="Times New Roman" w:hAnsi="Times New Roman" w:eastAsia="宋体"/>
                <w:b/>
                <w:color w:val="000000"/>
                <w:sz w:val="21"/>
              </w:rPr>
              <w:t>关键边界</w:t>
            </w:r>
          </w:p>
        </w:tc>
      </w:tr>
      <w:tr w14:paraId="16BEBC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2B102B5B">
            <w:pPr>
              <w:keepNext w:val="0"/>
              <w:spacing w:before="60" w:after="60" w:line="320" w:lineRule="exact"/>
              <w:ind w:firstLine="0"/>
              <w:jc w:val="left"/>
            </w:pPr>
            <w:r>
              <w:rPr>
                <w:rFonts w:ascii="Times New Roman" w:hAnsi="Times New Roman" w:eastAsia="宋体"/>
                <w:b w:val="0"/>
                <w:color w:val="000000"/>
                <w:sz w:val="21"/>
              </w:rPr>
              <w:t>联邦学习与分割学习</w:t>
            </w:r>
          </w:p>
        </w:tc>
        <w:tc>
          <w:tcPr>
            <w:tcW w:w="3168" w:type="dxa"/>
            <w:tcMar>
              <w:top w:w="85" w:type="dxa"/>
              <w:left w:w="85" w:type="dxa"/>
              <w:bottom w:w="85" w:type="dxa"/>
              <w:right w:w="85" w:type="dxa"/>
            </w:tcMar>
            <w:vAlign w:val="center"/>
          </w:tcPr>
          <w:p w14:paraId="3648E803">
            <w:pPr>
              <w:keepNext w:val="0"/>
              <w:spacing w:before="60" w:after="60" w:line="320" w:lineRule="exact"/>
              <w:ind w:firstLine="0"/>
              <w:jc w:val="left"/>
            </w:pPr>
            <w:r>
              <w:rPr>
                <w:rFonts w:ascii="Times New Roman" w:hAnsi="Times New Roman" w:eastAsia="宋体"/>
                <w:b w:val="0"/>
                <w:color w:val="000000"/>
                <w:sz w:val="21"/>
              </w:rPr>
              <w:t>组织多方协作，减少原始数据汇集</w:t>
            </w:r>
          </w:p>
        </w:tc>
        <w:tc>
          <w:tcPr>
            <w:tcW w:w="4104" w:type="dxa"/>
            <w:tcMar>
              <w:top w:w="85" w:type="dxa"/>
              <w:left w:w="85" w:type="dxa"/>
              <w:bottom w:w="85" w:type="dxa"/>
              <w:right w:w="85" w:type="dxa"/>
            </w:tcMar>
            <w:vAlign w:val="center"/>
          </w:tcPr>
          <w:p w14:paraId="1C579E86">
            <w:pPr>
              <w:keepNext w:val="0"/>
              <w:spacing w:before="60" w:after="60" w:line="320" w:lineRule="exact"/>
              <w:ind w:firstLine="0"/>
              <w:jc w:val="left"/>
            </w:pPr>
            <w:r>
              <w:rPr>
                <w:rFonts w:ascii="Times New Roman" w:hAnsi="Times New Roman" w:eastAsia="宋体"/>
                <w:b w:val="0"/>
                <w:color w:val="000000"/>
                <w:sz w:val="21"/>
              </w:rPr>
              <w:t>消息与模型仍可能泄露信息</w:t>
            </w:r>
          </w:p>
        </w:tc>
      </w:tr>
      <w:tr w14:paraId="708008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37F95738">
            <w:pPr>
              <w:keepNext w:val="0"/>
              <w:spacing w:before="60" w:after="60" w:line="320" w:lineRule="exact"/>
              <w:ind w:firstLine="0"/>
              <w:jc w:val="left"/>
            </w:pPr>
            <w:r>
              <w:rPr>
                <w:rFonts w:ascii="Times New Roman" w:hAnsi="Times New Roman" w:eastAsia="宋体"/>
                <w:b w:val="0"/>
                <w:color w:val="000000"/>
                <w:sz w:val="21"/>
              </w:rPr>
              <w:t>安全聚合与MPC</w:t>
            </w:r>
          </w:p>
        </w:tc>
        <w:tc>
          <w:tcPr>
            <w:tcW w:w="3168" w:type="dxa"/>
            <w:tcMar>
              <w:top w:w="85" w:type="dxa"/>
              <w:left w:w="85" w:type="dxa"/>
              <w:bottom w:w="85" w:type="dxa"/>
              <w:right w:w="85" w:type="dxa"/>
            </w:tcMar>
            <w:vAlign w:val="center"/>
          </w:tcPr>
          <w:p w14:paraId="3BAA1559">
            <w:pPr>
              <w:keepNext w:val="0"/>
              <w:spacing w:before="60" w:after="60" w:line="320" w:lineRule="exact"/>
              <w:ind w:firstLine="0"/>
              <w:jc w:val="left"/>
            </w:pPr>
            <w:r>
              <w:rPr>
                <w:rFonts w:ascii="Times New Roman" w:hAnsi="Times New Roman" w:eastAsia="宋体"/>
                <w:b w:val="0"/>
                <w:color w:val="000000"/>
                <w:sz w:val="21"/>
              </w:rPr>
              <w:t>限制单方输入和计算中间量的可见性</w:t>
            </w:r>
          </w:p>
        </w:tc>
        <w:tc>
          <w:tcPr>
            <w:tcW w:w="4104" w:type="dxa"/>
            <w:tcMar>
              <w:top w:w="85" w:type="dxa"/>
              <w:left w:w="85" w:type="dxa"/>
              <w:bottom w:w="85" w:type="dxa"/>
              <w:right w:w="85" w:type="dxa"/>
            </w:tcMar>
            <w:vAlign w:val="center"/>
          </w:tcPr>
          <w:p w14:paraId="31595A8A">
            <w:pPr>
              <w:keepNext w:val="0"/>
              <w:spacing w:before="60" w:after="60" w:line="320" w:lineRule="exact"/>
              <w:ind w:firstLine="0"/>
              <w:jc w:val="left"/>
            </w:pPr>
            <w:r>
              <w:rPr>
                <w:rFonts w:ascii="Times New Roman" w:hAnsi="Times New Roman" w:eastAsia="宋体"/>
                <w:b w:val="0"/>
                <w:color w:val="000000"/>
                <w:sz w:val="21"/>
              </w:rPr>
              <w:t>依赖协议、串谋阈值与允许输出</w:t>
            </w:r>
          </w:p>
        </w:tc>
      </w:tr>
      <w:tr w14:paraId="5C940E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48EBFDAD">
            <w:pPr>
              <w:keepNext w:val="0"/>
              <w:spacing w:before="60" w:after="60" w:line="320" w:lineRule="exact"/>
              <w:ind w:firstLine="0"/>
              <w:jc w:val="left"/>
            </w:pPr>
            <w:r>
              <w:rPr>
                <w:rFonts w:ascii="Times New Roman" w:hAnsi="Times New Roman" w:eastAsia="宋体"/>
                <w:b w:val="0"/>
                <w:color w:val="000000"/>
                <w:sz w:val="21"/>
              </w:rPr>
              <w:t>同态加密</w:t>
            </w:r>
          </w:p>
        </w:tc>
        <w:tc>
          <w:tcPr>
            <w:tcW w:w="3168" w:type="dxa"/>
            <w:tcMar>
              <w:top w:w="85" w:type="dxa"/>
              <w:left w:w="85" w:type="dxa"/>
              <w:bottom w:w="85" w:type="dxa"/>
              <w:right w:w="85" w:type="dxa"/>
            </w:tcMar>
            <w:vAlign w:val="center"/>
          </w:tcPr>
          <w:p w14:paraId="1AA23D4D">
            <w:pPr>
              <w:keepNext w:val="0"/>
              <w:spacing w:before="60" w:after="60" w:line="320" w:lineRule="exact"/>
              <w:ind w:firstLine="0"/>
              <w:jc w:val="left"/>
            </w:pPr>
            <w:r>
              <w:rPr>
                <w:rFonts w:ascii="Times New Roman" w:hAnsi="Times New Roman" w:eastAsia="宋体"/>
                <w:b w:val="0"/>
                <w:color w:val="000000"/>
                <w:sz w:val="21"/>
              </w:rPr>
              <w:t>支持在密文上完成指定运算</w:t>
            </w:r>
          </w:p>
        </w:tc>
        <w:tc>
          <w:tcPr>
            <w:tcW w:w="4104" w:type="dxa"/>
            <w:tcMar>
              <w:top w:w="85" w:type="dxa"/>
              <w:left w:w="85" w:type="dxa"/>
              <w:bottom w:w="85" w:type="dxa"/>
              <w:right w:w="85" w:type="dxa"/>
            </w:tcMar>
            <w:vAlign w:val="center"/>
          </w:tcPr>
          <w:p w14:paraId="25F63732">
            <w:pPr>
              <w:keepNext w:val="0"/>
              <w:spacing w:before="60" w:after="60" w:line="320" w:lineRule="exact"/>
              <w:ind w:firstLine="0"/>
              <w:jc w:val="left"/>
            </w:pPr>
            <w:r>
              <w:rPr>
                <w:rFonts w:ascii="Times New Roman" w:hAnsi="Times New Roman" w:eastAsia="宋体"/>
                <w:b w:val="0"/>
                <w:color w:val="000000"/>
                <w:sz w:val="21"/>
              </w:rPr>
              <w:t>计算能力、密钥管理与开销受约束</w:t>
            </w:r>
          </w:p>
        </w:tc>
      </w:tr>
      <w:tr w14:paraId="3615B0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4A2AC7CA">
            <w:pPr>
              <w:keepNext w:val="0"/>
              <w:spacing w:before="60" w:after="60" w:line="320" w:lineRule="exact"/>
              <w:ind w:firstLine="0"/>
              <w:jc w:val="left"/>
            </w:pPr>
            <w:r>
              <w:rPr>
                <w:rFonts w:ascii="Times New Roman" w:hAnsi="Times New Roman" w:eastAsia="宋体"/>
                <w:b w:val="0"/>
                <w:color w:val="000000"/>
                <w:sz w:val="21"/>
              </w:rPr>
              <w:t>差分隐私</w:t>
            </w:r>
          </w:p>
        </w:tc>
        <w:tc>
          <w:tcPr>
            <w:tcW w:w="3168" w:type="dxa"/>
            <w:tcMar>
              <w:top w:w="85" w:type="dxa"/>
              <w:left w:w="85" w:type="dxa"/>
              <w:bottom w:w="85" w:type="dxa"/>
              <w:right w:w="85" w:type="dxa"/>
            </w:tcMar>
            <w:vAlign w:val="center"/>
          </w:tcPr>
          <w:p w14:paraId="5D4D8859">
            <w:pPr>
              <w:keepNext w:val="0"/>
              <w:spacing w:before="60" w:after="60" w:line="320" w:lineRule="exact"/>
              <w:ind w:firstLine="0"/>
              <w:jc w:val="left"/>
            </w:pPr>
            <w:r>
              <w:rPr>
                <w:rFonts w:ascii="Times New Roman" w:hAnsi="Times New Roman" w:eastAsia="宋体"/>
                <w:b w:val="0"/>
                <w:color w:val="000000"/>
                <w:sz w:val="21"/>
              </w:rPr>
              <w:t>限制发布结果引起的额外隐私损失</w:t>
            </w:r>
          </w:p>
        </w:tc>
        <w:tc>
          <w:tcPr>
            <w:tcW w:w="4104" w:type="dxa"/>
            <w:tcMar>
              <w:top w:w="85" w:type="dxa"/>
              <w:left w:w="85" w:type="dxa"/>
              <w:bottom w:w="85" w:type="dxa"/>
              <w:right w:w="85" w:type="dxa"/>
            </w:tcMar>
            <w:vAlign w:val="center"/>
          </w:tcPr>
          <w:p w14:paraId="4D27C191">
            <w:pPr>
              <w:keepNext w:val="0"/>
              <w:spacing w:before="60" w:after="60" w:line="320" w:lineRule="exact"/>
              <w:ind w:firstLine="0"/>
              <w:jc w:val="left"/>
            </w:pPr>
            <w:r>
              <w:rPr>
                <w:rFonts w:ascii="Times New Roman" w:hAnsi="Times New Roman" w:eastAsia="宋体"/>
                <w:b w:val="0"/>
                <w:color w:val="000000"/>
                <w:sz w:val="21"/>
              </w:rPr>
              <w:t>需定义保护单位、预算及累计发布</w:t>
            </w:r>
          </w:p>
        </w:tc>
      </w:tr>
      <w:tr w14:paraId="544AD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192B349D">
            <w:pPr>
              <w:keepNext w:val="0"/>
              <w:spacing w:before="60" w:after="60" w:line="320" w:lineRule="exact"/>
              <w:ind w:firstLine="0"/>
              <w:jc w:val="left"/>
            </w:pPr>
            <w:r>
              <w:rPr>
                <w:rFonts w:ascii="Times New Roman" w:hAnsi="Times New Roman" w:eastAsia="宋体"/>
                <w:b w:val="0"/>
                <w:color w:val="000000"/>
                <w:sz w:val="21"/>
              </w:rPr>
              <w:t>PSI与TEE</w:t>
            </w:r>
          </w:p>
        </w:tc>
        <w:tc>
          <w:tcPr>
            <w:tcW w:w="3168" w:type="dxa"/>
            <w:tcMar>
              <w:top w:w="85" w:type="dxa"/>
              <w:left w:w="85" w:type="dxa"/>
              <w:bottom w:w="85" w:type="dxa"/>
              <w:right w:w="85" w:type="dxa"/>
            </w:tcMar>
            <w:vAlign w:val="center"/>
          </w:tcPr>
          <w:p w14:paraId="3F9C0322">
            <w:pPr>
              <w:keepNext w:val="0"/>
              <w:spacing w:before="60" w:after="60" w:line="320" w:lineRule="exact"/>
              <w:ind w:firstLine="0"/>
              <w:jc w:val="left"/>
            </w:pPr>
            <w:r>
              <w:rPr>
                <w:rFonts w:ascii="Times New Roman" w:hAnsi="Times New Roman" w:eastAsia="宋体"/>
                <w:b w:val="0"/>
                <w:color w:val="000000"/>
                <w:sz w:val="21"/>
              </w:rPr>
              <w:t>分别支持私密对齐与受保护执行</w:t>
            </w:r>
          </w:p>
        </w:tc>
        <w:tc>
          <w:tcPr>
            <w:tcW w:w="4104" w:type="dxa"/>
            <w:tcMar>
              <w:top w:w="85" w:type="dxa"/>
              <w:left w:w="85" w:type="dxa"/>
              <w:bottom w:w="85" w:type="dxa"/>
              <w:right w:w="85" w:type="dxa"/>
            </w:tcMar>
            <w:vAlign w:val="center"/>
          </w:tcPr>
          <w:p w14:paraId="5A799127">
            <w:pPr>
              <w:keepNext w:val="0"/>
              <w:spacing w:before="60" w:after="60" w:line="320" w:lineRule="exact"/>
              <w:ind w:firstLine="0"/>
              <w:jc w:val="left"/>
            </w:pPr>
            <w:r>
              <w:rPr>
                <w:rFonts w:ascii="Times New Roman" w:hAnsi="Times New Roman" w:eastAsia="宋体"/>
                <w:b w:val="0"/>
                <w:color w:val="000000"/>
                <w:sz w:val="21"/>
              </w:rPr>
              <w:t>对齐结果或硬件信任仍需评估</w:t>
            </w:r>
          </w:p>
        </w:tc>
      </w:tr>
      <w:tr w14:paraId="0F6D48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09CA2D02">
            <w:pPr>
              <w:keepNext w:val="0"/>
              <w:spacing w:before="60" w:after="60" w:line="320" w:lineRule="exact"/>
              <w:ind w:firstLine="0"/>
              <w:jc w:val="left"/>
            </w:pPr>
            <w:r>
              <w:rPr>
                <w:rFonts w:ascii="Times New Roman" w:hAnsi="Times New Roman" w:eastAsia="宋体"/>
                <w:b w:val="0"/>
                <w:color w:val="000000"/>
                <w:sz w:val="21"/>
              </w:rPr>
              <w:t>权限控制与审计</w:t>
            </w:r>
          </w:p>
        </w:tc>
        <w:tc>
          <w:tcPr>
            <w:tcW w:w="3168" w:type="dxa"/>
            <w:tcMar>
              <w:top w:w="85" w:type="dxa"/>
              <w:left w:w="85" w:type="dxa"/>
              <w:bottom w:w="85" w:type="dxa"/>
              <w:right w:w="85" w:type="dxa"/>
            </w:tcMar>
            <w:vAlign w:val="center"/>
          </w:tcPr>
          <w:p w14:paraId="07611CF6">
            <w:pPr>
              <w:keepNext w:val="0"/>
              <w:spacing w:before="60" w:after="60" w:line="320" w:lineRule="exact"/>
              <w:ind w:firstLine="0"/>
              <w:jc w:val="left"/>
            </w:pPr>
            <w:r>
              <w:rPr>
                <w:rFonts w:ascii="Times New Roman" w:hAnsi="Times New Roman" w:eastAsia="宋体"/>
                <w:b w:val="0"/>
                <w:color w:val="000000"/>
                <w:sz w:val="21"/>
              </w:rPr>
              <w:t>约束访问者、用途和追责过程</w:t>
            </w:r>
          </w:p>
        </w:tc>
        <w:tc>
          <w:tcPr>
            <w:tcW w:w="4104" w:type="dxa"/>
            <w:tcMar>
              <w:top w:w="85" w:type="dxa"/>
              <w:left w:w="85" w:type="dxa"/>
              <w:bottom w:w="85" w:type="dxa"/>
              <w:right w:w="85" w:type="dxa"/>
            </w:tcMar>
            <w:vAlign w:val="center"/>
          </w:tcPr>
          <w:p w14:paraId="60ACA836">
            <w:pPr>
              <w:keepNext w:val="0"/>
              <w:spacing w:before="60" w:after="60" w:line="320" w:lineRule="exact"/>
              <w:ind w:firstLine="0"/>
              <w:jc w:val="left"/>
            </w:pPr>
            <w:r>
              <w:rPr>
                <w:rFonts w:ascii="Times New Roman" w:hAnsi="Times New Roman" w:eastAsia="宋体"/>
                <w:b w:val="0"/>
                <w:color w:val="000000"/>
                <w:sz w:val="21"/>
              </w:rPr>
              <w:t>不能替代算法层面的泄露分析</w:t>
            </w:r>
          </w:p>
        </w:tc>
      </w:tr>
    </w:tbl>
    <w:p w14:paraId="23DD04CE">
      <w:pPr>
        <w:pStyle w:val="3"/>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3</w:t>
      </w:r>
      <w:r>
        <w:rPr>
          <w:rFonts w:ascii="Times New Roman" w:hAnsi="Times New Roman" w:eastAsia="宋体" w:cstheme="minorBidi"/>
          <w:b/>
          <w:bCs/>
          <w:color w:val="000000"/>
          <w:sz w:val="28"/>
          <w:szCs w:val="24"/>
          <w:lang w:val="en-US" w:eastAsia="en-US" w:bidi="ar-SA"/>
        </w:rPr>
        <w:t xml:space="preserve"> 金融与统计研究的主要进展</w:t>
      </w:r>
    </w:p>
    <w:p w14:paraId="31102F3E">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3</w:t>
      </w:r>
      <w:r>
        <w:rPr>
          <w:rFonts w:ascii="Times New Roman" w:hAnsi="Times New Roman" w:eastAsia="宋体" w:cstheme="minorBidi"/>
          <w:b/>
          <w:bCs/>
          <w:color w:val="000000"/>
          <w:sz w:val="28"/>
          <w:szCs w:val="24"/>
          <w:lang w:val="en-US" w:eastAsia="en-US" w:bidi="ar-SA"/>
        </w:rPr>
        <w:t>.1 隐私保护与统计精度之间的可解释权衡</w:t>
      </w:r>
    </w:p>
    <w:p w14:paraId="30DDAB43">
      <w:pPr>
        <w:jc w:val="both"/>
      </w:pPr>
      <w:r>
        <w:t>金融隐私研究需要统计学视角，因为保护机制往往改变可使用的信息及估计误差。Abowd与Schmutte将隐私保护和统计准确性视为资源配置问题，在差分隐私统计发布的框架中讨论如何权衡其成本与收益。</w:t>
      </w:r>
      <w:r>
        <w:rPr>
          <w:sz w:val="18"/>
          <w:vertAlign w:val="superscript"/>
        </w:rPr>
        <w:t>[22]</w:t>
      </w:r>
      <w:r>
        <w:t xml:space="preserve"> 该研究不是金融违约模型的性能实验，但为金融统计发布和风险模型评估提供了思路：隐私强度应与明确的效用指标一起呈现，而非作为孤立标签。</w:t>
      </w:r>
    </w:p>
    <w:p w14:paraId="0BBD5282">
      <w:pPr>
        <w:jc w:val="both"/>
      </w:pPr>
      <w:r>
        <w:t>在风险排序任务中，“效用”可以进一步落实为固定核查预算下命中多少记录正例、遗漏多少高风险主体，以及结果能否跨年份保持稳定。这是本文面向项目的推论，而非上述论文直接报告的结果。保护机制改变样本交集、增加噪声或压缩消息后，还可能同时改变估计方差、样本代表性与预测排序。因此，应将数据删减、结构变化与隐私机制的影响分开比较。</w:t>
      </w:r>
    </w:p>
    <w:p w14:paraId="1FF0918B">
      <w:pPr>
        <w:jc w:val="both"/>
      </w:pPr>
    </w:p>
    <w:p w14:paraId="77B93A39">
      <w:pPr>
        <w:jc w:val="both"/>
      </w:pPr>
    </w:p>
    <w:p w14:paraId="47D0F490">
      <w:pPr>
        <w:jc w:val="both"/>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3</w:t>
      </w:r>
      <w:r>
        <w:rPr>
          <w:rFonts w:ascii="Times New Roman" w:hAnsi="Times New Roman" w:eastAsia="宋体" w:cstheme="minorBidi"/>
          <w:b/>
          <w:bCs/>
          <w:color w:val="000000"/>
          <w:sz w:val="28"/>
          <w:szCs w:val="24"/>
          <w:lang w:val="en-US" w:eastAsia="en-US" w:bidi="ar-SA"/>
        </w:rPr>
        <w:t>.2 信贷评分中的信息互补与数据异质性</w:t>
      </w:r>
    </w:p>
    <w:p w14:paraId="0CF6E603">
      <w:pPr>
        <w:jc w:val="both"/>
      </w:pPr>
      <w:r>
        <w:t>信贷评分是金融隐私计算较明确的应用对象。一方面，额外信息可能补充现有信用判断；另一方面，模型需要在不同机构的业务规则与数据权限下工作。Zheng等提出面向可解释评分卡的纵向联邦方法，将带约束的逻辑回归用于多方信用评分，并报告AUC与KS指标改善。本文按公开预印本著录该研究，其摘要中的业务应用陈述不能替代独立部署审计。</w:t>
      </w:r>
      <w:r>
        <w:rPr>
          <w:sz w:val="18"/>
          <w:vertAlign w:val="superscript"/>
        </w:rPr>
        <w:t>[23]</w:t>
      </w:r>
    </w:p>
    <w:p w14:paraId="57199BA7">
      <w:pPr>
        <w:jc w:val="both"/>
      </w:pPr>
      <w:r>
        <w:t>国内统计研究正在将隐私约束与多源异质性共同纳入建模。王小燕、冮建伟、方匡南2026年9月网络发布的研究提出Trans-MCP-KL方法，以模型输出间的KL散度衡量源域差异，动态调节知识迁移，并在某银行贷款业务上检验风险因子选择与违约预测。</w:t>
      </w:r>
      <w:r>
        <w:rPr>
          <w:sz w:val="18"/>
          <w:vertAlign w:val="superscript"/>
        </w:rPr>
        <w:t>[24]</w:t>
      </w:r>
      <w:r>
        <w:t xml:space="preserve"> 这一研究与“跨机构信息有价值但难以直接共享”的背景高度相关。</w:t>
      </w:r>
    </w:p>
    <w:p w14:paraId="2CDE7B5B">
      <w:pPr>
        <w:jc w:val="both"/>
      </w:pPr>
      <w:r>
        <w:t>这组文献共同提示：协作收益取决于参与方信息是否互补、样本是否可比及异质性是否被正确处理。增加节点并不必然提升效果，低质量来源甚至可能造成负迁移。针对企业违规排序，应先确认市场、财务、治理和审计信息的增量，再研究保护这些增量需要付出的代价。模型对某类信息依赖越强，其表示中可能保留的可推断信息也越值得检查；预测有效性与隐私安全性必须分别验证。</w:t>
      </w:r>
    </w:p>
    <w:p w14:paraId="6584E9F7">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3</w:t>
      </w:r>
      <w:r>
        <w:rPr>
          <w:rFonts w:ascii="Times New Roman" w:hAnsi="Times New Roman" w:eastAsia="宋体" w:cstheme="minorBidi"/>
          <w:b/>
          <w:bCs/>
          <w:color w:val="000000"/>
          <w:sz w:val="28"/>
          <w:szCs w:val="24"/>
          <w:lang w:val="en-US" w:eastAsia="en-US" w:bidi="ar-SA"/>
        </w:rPr>
        <w:t>.3 交易反欺诈与反洗钱中的协作分析</w:t>
      </w:r>
    </w:p>
    <w:p w14:paraId="700BAB1E">
      <w:pPr>
        <w:jc w:val="both"/>
      </w:pPr>
      <w:r>
        <w:t>Byrd与Polychroniadou使用信用卡欺</w:t>
      </w:r>
      <w:bookmarkStart w:id="0" w:name="_GoBack"/>
      <w:bookmarkEnd w:id="0"/>
      <w:r>
        <w:t>诈数据验证逻辑回归下的联邦保护方案。论文使用的数据包含284,807笔记录，其中492笔为欺诈，表明这是一项高度不平衡的交易识别任务。</w:t>
      </w:r>
      <w:r>
        <w:rPr>
          <w:sz w:val="18"/>
          <w:vertAlign w:val="superscript"/>
        </w:rPr>
        <w:t>[20]</w:t>
      </w:r>
      <w:r>
        <w:t xml:space="preserve"> 它支持在金融数据上联合检验隐私与效用的研究路线，但其客户端划分、交易标签和模型结构与企业年度数据不同，不能搬用其结果作为本项目的提升幅度。</w:t>
      </w:r>
    </w:p>
    <w:p w14:paraId="7732B70D">
      <w:pPr>
        <w:jc w:val="both"/>
      </w:pPr>
      <w:r>
        <w:t>国际清算银行创新中心2023年的Project Aurora使用合成支付数据，比较孤立、国家层面和跨境协作监测，并结合隐私增强技术、机器学习与网络分析研究洗钱识别。其证据性质是概念验证，支持协作分析的潜力，不是实际监管系统的成效审计。</w:t>
      </w:r>
      <w:r>
        <w:rPr>
          <w:sz w:val="18"/>
          <w:vertAlign w:val="superscript"/>
        </w:rPr>
        <w:t>[25]</w:t>
      </w:r>
      <w:r>
        <w:t xml:space="preserve"> Zhang等的HyFL研究则针对交易信息与不同银行账户信息同时分散的情形设计混合联邦框架，并讨论攻击下的表现；本文按arXiv预印本处理。</w:t>
      </w:r>
      <w:r>
        <w:rPr>
          <w:sz w:val="18"/>
          <w:vertAlign w:val="superscript"/>
        </w:rPr>
        <w:t>[26]</w:t>
      </w:r>
    </w:p>
    <w:p w14:paraId="3E0223C5">
      <w:pPr>
        <w:jc w:val="both"/>
      </w:pPr>
      <w:r>
        <w:t>这些工作说明，单一机构可能只能观察风险链条的一部分，联合分析的价值在于补充可见范围，而不只是增加计算资源。反洗钱的交易网络、信用卡反欺诈的即时事件，与上市公司的年度违规记录属于不同统计对象。可迁移的是协作机制、威胁分析和评价思路；是否提高本项目的核查名单质量，仍取决于本项目的数据和实验。</w:t>
      </w:r>
    </w:p>
    <w:p w14:paraId="43AB3FAC">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3</w:t>
      </w:r>
      <w:r>
        <w:rPr>
          <w:rFonts w:ascii="Times New Roman" w:hAnsi="Times New Roman" w:eastAsia="宋体" w:cstheme="minorBidi"/>
          <w:b/>
          <w:bCs/>
          <w:color w:val="000000"/>
          <w:sz w:val="28"/>
          <w:szCs w:val="24"/>
          <w:lang w:val="en-US" w:eastAsia="en-US" w:bidi="ar-SA"/>
        </w:rPr>
        <w:t>.4 从保护方案转向攻击与防御的共同检验</w:t>
      </w:r>
    </w:p>
    <w:p w14:paraId="34B63EEF">
      <w:pPr>
        <w:jc w:val="both"/>
      </w:pPr>
      <w:r>
        <w:t>近期研究更重视保护效果的可检验性。Arazzi等2025年的工作结合知识蒸馏与k匿名思想，缓解VFL的标签推断攻击，并报告在所研究条件下兼顾攻击抑制与模型效用。</w:t>
      </w:r>
      <w:r>
        <w:rPr>
          <w:sz w:val="18"/>
          <w:vertAlign w:val="superscript"/>
        </w:rPr>
        <w:t>[27]</w:t>
      </w:r>
      <w:r>
        <w:t xml:space="preserve"> 这类经验防御不能与DP的形式化保证直接等同。比较防御方法时，必须明确攻击类型、辅助数据、模型访问权限和是否允许主动操纵，否则攻击成功率下降可能只是攻击者条件变弱。</w:t>
      </w:r>
    </w:p>
    <w:p w14:paraId="1B50ED4C">
      <w:pPr>
        <w:jc w:val="both"/>
      </w:pPr>
      <w:r>
        <w:t>从现有证据看，金融应用论文更关心预测和协作可行性，隐私安全论文更关心在给定威胁下能泄露什么。两条证据链需要连接起来：金融研究应补充攻击评估，安全研究应采用金融任务所关心的效用及部署约束。无法从不同论文中的若干准确率直接排出“最好的金融隐私技术”。</w:t>
      </w:r>
    </w:p>
    <w:p w14:paraId="0497E38A">
      <w:pPr>
        <w:pStyle w:val="15"/>
        <w:jc w:val="center"/>
      </w:pPr>
      <w:r>
        <w:t>表3 代表性研究的证据用途与外推边界</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32"/>
        <w:gridCol w:w="3168"/>
        <w:gridCol w:w="4104"/>
      </w:tblGrid>
      <w:tr w14:paraId="08D279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32" w:type="dxa"/>
            <w:shd w:val="clear" w:color="auto" w:fill="EDEDED"/>
            <w:tcMar>
              <w:top w:w="85" w:type="dxa"/>
              <w:left w:w="85" w:type="dxa"/>
              <w:bottom w:w="85" w:type="dxa"/>
              <w:right w:w="85" w:type="dxa"/>
            </w:tcMar>
            <w:vAlign w:val="center"/>
          </w:tcPr>
          <w:p w14:paraId="68DD7E76">
            <w:pPr>
              <w:keepNext/>
              <w:spacing w:before="60" w:after="60" w:line="320" w:lineRule="exact"/>
              <w:ind w:firstLine="0"/>
              <w:jc w:val="left"/>
            </w:pPr>
            <w:r>
              <w:rPr>
                <w:rFonts w:ascii="Times New Roman" w:hAnsi="Times New Roman" w:eastAsia="宋体"/>
                <w:b/>
                <w:color w:val="000000"/>
                <w:sz w:val="21"/>
              </w:rPr>
              <w:t>研究</w:t>
            </w:r>
          </w:p>
        </w:tc>
        <w:tc>
          <w:tcPr>
            <w:tcW w:w="3168" w:type="dxa"/>
            <w:shd w:val="clear" w:color="auto" w:fill="EDEDED"/>
            <w:tcMar>
              <w:top w:w="85" w:type="dxa"/>
              <w:left w:w="85" w:type="dxa"/>
              <w:bottom w:w="85" w:type="dxa"/>
              <w:right w:w="85" w:type="dxa"/>
            </w:tcMar>
            <w:vAlign w:val="center"/>
          </w:tcPr>
          <w:p w14:paraId="0422A05B">
            <w:pPr>
              <w:keepNext/>
              <w:spacing w:before="60" w:after="60" w:line="320" w:lineRule="exact"/>
              <w:ind w:firstLine="0"/>
              <w:jc w:val="left"/>
            </w:pPr>
            <w:r>
              <w:rPr>
                <w:rFonts w:ascii="Times New Roman" w:hAnsi="Times New Roman" w:eastAsia="宋体"/>
                <w:b/>
                <w:color w:val="000000"/>
                <w:sz w:val="21"/>
              </w:rPr>
              <w:t>可支持的论点</w:t>
            </w:r>
          </w:p>
        </w:tc>
        <w:tc>
          <w:tcPr>
            <w:tcW w:w="4104" w:type="dxa"/>
            <w:shd w:val="clear" w:color="auto" w:fill="EDEDED"/>
            <w:tcMar>
              <w:top w:w="85" w:type="dxa"/>
              <w:left w:w="85" w:type="dxa"/>
              <w:bottom w:w="85" w:type="dxa"/>
              <w:right w:w="85" w:type="dxa"/>
            </w:tcMar>
            <w:vAlign w:val="center"/>
          </w:tcPr>
          <w:p w14:paraId="6272D8CF">
            <w:pPr>
              <w:keepNext/>
              <w:spacing w:before="60" w:after="60" w:line="320" w:lineRule="exact"/>
              <w:ind w:firstLine="0"/>
              <w:jc w:val="left"/>
            </w:pPr>
            <w:r>
              <w:rPr>
                <w:rFonts w:ascii="Times New Roman" w:hAnsi="Times New Roman" w:eastAsia="宋体"/>
                <w:b/>
                <w:color w:val="000000"/>
                <w:sz w:val="21"/>
              </w:rPr>
              <w:t>不宜推出的结论</w:t>
            </w:r>
          </w:p>
        </w:tc>
      </w:tr>
      <w:tr w14:paraId="5FC8EE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0E1CAB6F">
            <w:pPr>
              <w:keepNext w:val="0"/>
              <w:spacing w:before="60" w:after="60" w:line="320" w:lineRule="exact"/>
              <w:ind w:firstLine="0"/>
              <w:jc w:val="left"/>
            </w:pPr>
            <w:r>
              <w:rPr>
                <w:rFonts w:ascii="Times New Roman" w:hAnsi="Times New Roman" w:eastAsia="宋体"/>
                <w:b w:val="0"/>
                <w:color w:val="000000"/>
                <w:sz w:val="21"/>
              </w:rPr>
              <w:t xml:space="preserve">Berg等，2020 </w:t>
            </w:r>
            <w:r>
              <w:rPr>
                <w:rFonts w:ascii="Times New Roman" w:hAnsi="Times New Roman" w:eastAsia="宋体"/>
                <w:b w:val="0"/>
                <w:color w:val="000000"/>
                <w:sz w:val="21"/>
                <w:vertAlign w:val="superscript"/>
              </w:rPr>
              <w:t>[1]</w:t>
            </w:r>
          </w:p>
        </w:tc>
        <w:tc>
          <w:tcPr>
            <w:tcW w:w="3168" w:type="dxa"/>
            <w:tcMar>
              <w:top w:w="85" w:type="dxa"/>
              <w:left w:w="85" w:type="dxa"/>
              <w:bottom w:w="85" w:type="dxa"/>
              <w:right w:w="85" w:type="dxa"/>
            </w:tcMar>
            <w:vAlign w:val="center"/>
          </w:tcPr>
          <w:p w14:paraId="37E2F897">
            <w:pPr>
              <w:keepNext w:val="0"/>
              <w:spacing w:before="60" w:after="60" w:line="320" w:lineRule="exact"/>
              <w:ind w:firstLine="0"/>
              <w:jc w:val="left"/>
            </w:pPr>
            <w:r>
              <w:rPr>
                <w:rFonts w:ascii="Times New Roman" w:hAnsi="Times New Roman" w:eastAsia="宋体"/>
                <w:b w:val="0"/>
                <w:color w:val="000000"/>
                <w:sz w:val="21"/>
              </w:rPr>
              <w:t>数字足迹可补充消费信贷信息</w:t>
            </w:r>
          </w:p>
        </w:tc>
        <w:tc>
          <w:tcPr>
            <w:tcW w:w="4104" w:type="dxa"/>
            <w:tcMar>
              <w:top w:w="85" w:type="dxa"/>
              <w:left w:w="85" w:type="dxa"/>
              <w:bottom w:w="85" w:type="dxa"/>
              <w:right w:w="85" w:type="dxa"/>
            </w:tcMar>
            <w:vAlign w:val="center"/>
          </w:tcPr>
          <w:p w14:paraId="68724228">
            <w:pPr>
              <w:keepNext w:val="0"/>
              <w:spacing w:before="60" w:after="60" w:line="320" w:lineRule="exact"/>
              <w:ind w:firstLine="0"/>
              <w:jc w:val="left"/>
            </w:pPr>
            <w:r>
              <w:rPr>
                <w:rFonts w:ascii="Times New Roman" w:hAnsi="Times New Roman" w:eastAsia="宋体"/>
                <w:b w:val="0"/>
                <w:color w:val="000000"/>
                <w:sz w:val="21"/>
              </w:rPr>
              <w:t>所有新增数据都有用，或已实现隐私保护</w:t>
            </w:r>
          </w:p>
        </w:tc>
      </w:tr>
      <w:tr w14:paraId="443445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14990DE5">
            <w:pPr>
              <w:keepNext w:val="0"/>
              <w:spacing w:before="60" w:after="60" w:line="320" w:lineRule="exact"/>
              <w:ind w:firstLine="0"/>
              <w:jc w:val="left"/>
            </w:pPr>
            <w:r>
              <w:rPr>
                <w:rFonts w:ascii="Times New Roman" w:hAnsi="Times New Roman" w:eastAsia="宋体"/>
                <w:b w:val="0"/>
                <w:color w:val="000000"/>
                <w:sz w:val="21"/>
              </w:rPr>
              <w:t xml:space="preserve">Abowd等，2019 </w:t>
            </w:r>
            <w:r>
              <w:rPr>
                <w:rFonts w:ascii="Times New Roman" w:hAnsi="Times New Roman" w:eastAsia="宋体"/>
                <w:b w:val="0"/>
                <w:color w:val="000000"/>
                <w:sz w:val="21"/>
                <w:vertAlign w:val="superscript"/>
              </w:rPr>
              <w:t>[22]</w:t>
            </w:r>
          </w:p>
        </w:tc>
        <w:tc>
          <w:tcPr>
            <w:tcW w:w="3168" w:type="dxa"/>
            <w:tcMar>
              <w:top w:w="85" w:type="dxa"/>
              <w:left w:w="85" w:type="dxa"/>
              <w:bottom w:w="85" w:type="dxa"/>
              <w:right w:w="85" w:type="dxa"/>
            </w:tcMar>
            <w:vAlign w:val="center"/>
          </w:tcPr>
          <w:p w14:paraId="5B73464D">
            <w:pPr>
              <w:keepNext w:val="0"/>
              <w:spacing w:before="60" w:after="60" w:line="320" w:lineRule="exact"/>
              <w:ind w:firstLine="0"/>
              <w:jc w:val="left"/>
            </w:pPr>
            <w:r>
              <w:rPr>
                <w:rFonts w:ascii="Times New Roman" w:hAnsi="Times New Roman" w:eastAsia="宋体"/>
                <w:b w:val="0"/>
                <w:color w:val="000000"/>
                <w:sz w:val="21"/>
              </w:rPr>
              <w:t>统计精度与隐私需要联合权衡</w:t>
            </w:r>
          </w:p>
        </w:tc>
        <w:tc>
          <w:tcPr>
            <w:tcW w:w="4104" w:type="dxa"/>
            <w:tcMar>
              <w:top w:w="85" w:type="dxa"/>
              <w:left w:w="85" w:type="dxa"/>
              <w:bottom w:w="85" w:type="dxa"/>
              <w:right w:w="85" w:type="dxa"/>
            </w:tcMar>
            <w:vAlign w:val="center"/>
          </w:tcPr>
          <w:p w14:paraId="6D739A78">
            <w:pPr>
              <w:keepNext w:val="0"/>
              <w:spacing w:before="60" w:after="60" w:line="320" w:lineRule="exact"/>
              <w:ind w:firstLine="0"/>
              <w:jc w:val="left"/>
            </w:pPr>
            <w:r>
              <w:rPr>
                <w:rFonts w:ascii="Times New Roman" w:hAnsi="Times New Roman" w:eastAsia="宋体"/>
                <w:b w:val="0"/>
                <w:color w:val="000000"/>
                <w:sz w:val="21"/>
              </w:rPr>
              <w:t>金融模型必有固定幅度的性能损失</w:t>
            </w:r>
          </w:p>
        </w:tc>
      </w:tr>
      <w:tr w14:paraId="175464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4B79C437">
            <w:pPr>
              <w:keepNext w:val="0"/>
              <w:spacing w:before="60" w:after="60" w:line="320" w:lineRule="exact"/>
              <w:ind w:firstLine="0"/>
              <w:jc w:val="left"/>
            </w:pPr>
            <w:r>
              <w:rPr>
                <w:rFonts w:ascii="Times New Roman" w:hAnsi="Times New Roman" w:eastAsia="宋体"/>
                <w:b w:val="0"/>
                <w:color w:val="000000"/>
                <w:sz w:val="21"/>
              </w:rPr>
              <w:t xml:space="preserve">SecureBoost，2021 </w:t>
            </w:r>
            <w:r>
              <w:rPr>
                <w:rFonts w:ascii="Times New Roman" w:hAnsi="Times New Roman" w:eastAsia="宋体"/>
                <w:b w:val="0"/>
                <w:color w:val="000000"/>
                <w:sz w:val="21"/>
                <w:vertAlign w:val="superscript"/>
              </w:rPr>
              <w:t>[17]</w:t>
            </w:r>
          </w:p>
        </w:tc>
        <w:tc>
          <w:tcPr>
            <w:tcW w:w="3168" w:type="dxa"/>
            <w:tcMar>
              <w:top w:w="85" w:type="dxa"/>
              <w:left w:w="85" w:type="dxa"/>
              <w:bottom w:w="85" w:type="dxa"/>
              <w:right w:w="85" w:type="dxa"/>
            </w:tcMar>
            <w:vAlign w:val="center"/>
          </w:tcPr>
          <w:p w14:paraId="436C615F">
            <w:pPr>
              <w:keepNext w:val="0"/>
              <w:spacing w:before="60" w:after="60" w:line="320" w:lineRule="exact"/>
              <w:ind w:firstLine="0"/>
              <w:jc w:val="left"/>
            </w:pPr>
            <w:r>
              <w:rPr>
                <w:rFonts w:ascii="Times New Roman" w:hAnsi="Times New Roman" w:eastAsia="宋体"/>
                <w:b w:val="0"/>
                <w:color w:val="000000"/>
                <w:sz w:val="21"/>
              </w:rPr>
              <w:t>纵向划分数据可支持受保护的树模型学习</w:t>
            </w:r>
          </w:p>
        </w:tc>
        <w:tc>
          <w:tcPr>
            <w:tcW w:w="4104" w:type="dxa"/>
            <w:tcMar>
              <w:top w:w="85" w:type="dxa"/>
              <w:left w:w="85" w:type="dxa"/>
              <w:bottom w:w="85" w:type="dxa"/>
              <w:right w:w="85" w:type="dxa"/>
            </w:tcMar>
            <w:vAlign w:val="center"/>
          </w:tcPr>
          <w:p w14:paraId="73B86B4E">
            <w:pPr>
              <w:keepNext w:val="0"/>
              <w:spacing w:before="60" w:after="60" w:line="320" w:lineRule="exact"/>
              <w:ind w:firstLine="0"/>
              <w:jc w:val="left"/>
            </w:pPr>
            <w:r>
              <w:rPr>
                <w:rFonts w:ascii="Times New Roman" w:hAnsi="Times New Roman" w:eastAsia="宋体"/>
                <w:b w:val="0"/>
                <w:color w:val="000000"/>
                <w:sz w:val="21"/>
              </w:rPr>
              <w:t>任意分节点网络均具有相同保护性质</w:t>
            </w:r>
          </w:p>
        </w:tc>
      </w:tr>
      <w:tr w14:paraId="117CB6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48797C8E">
            <w:pPr>
              <w:keepNext w:val="0"/>
              <w:spacing w:before="60" w:after="60" w:line="320" w:lineRule="exact"/>
              <w:ind w:firstLine="0"/>
              <w:jc w:val="left"/>
            </w:pPr>
            <w:r>
              <w:rPr>
                <w:rFonts w:ascii="Times New Roman" w:hAnsi="Times New Roman" w:eastAsia="宋体"/>
                <w:b w:val="0"/>
                <w:color w:val="000000"/>
                <w:sz w:val="21"/>
              </w:rPr>
              <w:t xml:space="preserve">Byrd等，2020 </w:t>
            </w:r>
            <w:r>
              <w:rPr>
                <w:rFonts w:ascii="Times New Roman" w:hAnsi="Times New Roman" w:eastAsia="宋体"/>
                <w:b w:val="0"/>
                <w:color w:val="000000"/>
                <w:sz w:val="21"/>
                <w:vertAlign w:val="superscript"/>
              </w:rPr>
              <w:t>[20]</w:t>
            </w:r>
          </w:p>
        </w:tc>
        <w:tc>
          <w:tcPr>
            <w:tcW w:w="3168" w:type="dxa"/>
            <w:tcMar>
              <w:top w:w="85" w:type="dxa"/>
              <w:left w:w="85" w:type="dxa"/>
              <w:bottom w:w="85" w:type="dxa"/>
              <w:right w:w="85" w:type="dxa"/>
            </w:tcMar>
            <w:vAlign w:val="center"/>
          </w:tcPr>
          <w:p w14:paraId="77490339">
            <w:pPr>
              <w:keepNext w:val="0"/>
              <w:spacing w:before="60" w:after="60" w:line="320" w:lineRule="exact"/>
              <w:ind w:firstLine="0"/>
              <w:jc w:val="left"/>
            </w:pPr>
            <w:r>
              <w:rPr>
                <w:rFonts w:ascii="Times New Roman" w:hAnsi="Times New Roman" w:eastAsia="宋体"/>
                <w:b w:val="0"/>
                <w:color w:val="000000"/>
                <w:sz w:val="21"/>
              </w:rPr>
              <w:t>金融反欺诈可联合研究DP与MPC</w:t>
            </w:r>
          </w:p>
        </w:tc>
        <w:tc>
          <w:tcPr>
            <w:tcW w:w="4104" w:type="dxa"/>
            <w:tcMar>
              <w:top w:w="85" w:type="dxa"/>
              <w:left w:w="85" w:type="dxa"/>
              <w:bottom w:w="85" w:type="dxa"/>
              <w:right w:w="85" w:type="dxa"/>
            </w:tcMar>
            <w:vAlign w:val="center"/>
          </w:tcPr>
          <w:p w14:paraId="391FA301">
            <w:pPr>
              <w:keepNext w:val="0"/>
              <w:spacing w:before="60" w:after="60" w:line="320" w:lineRule="exact"/>
              <w:ind w:firstLine="0"/>
              <w:jc w:val="left"/>
            </w:pPr>
            <w:r>
              <w:rPr>
                <w:rFonts w:ascii="Times New Roman" w:hAnsi="Times New Roman" w:eastAsia="宋体"/>
                <w:b w:val="0"/>
                <w:color w:val="000000"/>
                <w:sz w:val="21"/>
              </w:rPr>
              <w:t>交易实验能够证明企业年度排序效果</w:t>
            </w:r>
          </w:p>
        </w:tc>
      </w:tr>
      <w:tr w14:paraId="2EB85E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70309B04">
            <w:pPr>
              <w:keepNext w:val="0"/>
              <w:spacing w:before="60" w:after="60" w:line="320" w:lineRule="exact"/>
              <w:ind w:firstLine="0"/>
              <w:jc w:val="left"/>
            </w:pPr>
            <w:r>
              <w:rPr>
                <w:rFonts w:ascii="Times New Roman" w:hAnsi="Times New Roman" w:eastAsia="宋体"/>
                <w:b w:val="0"/>
                <w:color w:val="000000"/>
                <w:sz w:val="21"/>
              </w:rPr>
              <w:t xml:space="preserve">王小燕等，2026 </w:t>
            </w:r>
            <w:r>
              <w:rPr>
                <w:rFonts w:ascii="Times New Roman" w:hAnsi="Times New Roman" w:eastAsia="宋体"/>
                <w:b w:val="0"/>
                <w:color w:val="000000"/>
                <w:sz w:val="21"/>
                <w:vertAlign w:val="superscript"/>
              </w:rPr>
              <w:t>[24]</w:t>
            </w:r>
          </w:p>
        </w:tc>
        <w:tc>
          <w:tcPr>
            <w:tcW w:w="3168" w:type="dxa"/>
            <w:tcMar>
              <w:top w:w="85" w:type="dxa"/>
              <w:left w:w="85" w:type="dxa"/>
              <w:bottom w:w="85" w:type="dxa"/>
              <w:right w:w="85" w:type="dxa"/>
            </w:tcMar>
            <w:vAlign w:val="center"/>
          </w:tcPr>
          <w:p w14:paraId="7C3F69D8">
            <w:pPr>
              <w:keepNext w:val="0"/>
              <w:spacing w:before="60" w:after="60" w:line="320" w:lineRule="exact"/>
              <w:ind w:firstLine="0"/>
              <w:jc w:val="left"/>
            </w:pPr>
            <w:r>
              <w:rPr>
                <w:rFonts w:ascii="Times New Roman" w:hAnsi="Times New Roman" w:eastAsia="宋体"/>
                <w:b w:val="0"/>
                <w:color w:val="000000"/>
                <w:sz w:val="21"/>
              </w:rPr>
              <w:t>信用风险研究同时面临隐私与异质性约束</w:t>
            </w:r>
          </w:p>
        </w:tc>
        <w:tc>
          <w:tcPr>
            <w:tcW w:w="4104" w:type="dxa"/>
            <w:tcMar>
              <w:top w:w="85" w:type="dxa"/>
              <w:left w:w="85" w:type="dxa"/>
              <w:bottom w:w="85" w:type="dxa"/>
              <w:right w:w="85" w:type="dxa"/>
            </w:tcMar>
            <w:vAlign w:val="center"/>
          </w:tcPr>
          <w:p w14:paraId="71CCFA75">
            <w:pPr>
              <w:keepNext w:val="0"/>
              <w:spacing w:before="60" w:after="60" w:line="320" w:lineRule="exact"/>
              <w:ind w:firstLine="0"/>
              <w:jc w:val="left"/>
            </w:pPr>
            <w:r>
              <w:rPr>
                <w:rFonts w:ascii="Times New Roman" w:hAnsi="Times New Roman" w:eastAsia="宋体"/>
                <w:b w:val="0"/>
                <w:color w:val="000000"/>
                <w:sz w:val="21"/>
              </w:rPr>
              <w:t>摘要已证明完整的形式化隐私保证</w:t>
            </w:r>
          </w:p>
        </w:tc>
      </w:tr>
      <w:tr w14:paraId="527EDA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7DB91CD2">
            <w:pPr>
              <w:keepNext w:val="0"/>
              <w:spacing w:before="60" w:after="60" w:line="320" w:lineRule="exact"/>
              <w:ind w:firstLine="0"/>
              <w:jc w:val="left"/>
            </w:pPr>
            <w:r>
              <w:rPr>
                <w:rFonts w:ascii="Times New Roman" w:hAnsi="Times New Roman" w:eastAsia="宋体"/>
                <w:b w:val="0"/>
                <w:color w:val="000000"/>
                <w:sz w:val="21"/>
              </w:rPr>
              <w:t xml:space="preserve">Project Aurora，2023 </w:t>
            </w:r>
            <w:r>
              <w:rPr>
                <w:rFonts w:ascii="Times New Roman" w:hAnsi="Times New Roman" w:eastAsia="宋体"/>
                <w:b w:val="0"/>
                <w:color w:val="000000"/>
                <w:sz w:val="21"/>
                <w:vertAlign w:val="superscript"/>
              </w:rPr>
              <w:t>[25]</w:t>
            </w:r>
          </w:p>
        </w:tc>
        <w:tc>
          <w:tcPr>
            <w:tcW w:w="3168" w:type="dxa"/>
            <w:tcMar>
              <w:top w:w="85" w:type="dxa"/>
              <w:left w:w="85" w:type="dxa"/>
              <w:bottom w:w="85" w:type="dxa"/>
              <w:right w:w="85" w:type="dxa"/>
            </w:tcMar>
            <w:vAlign w:val="center"/>
          </w:tcPr>
          <w:p w14:paraId="60B4D0CA">
            <w:pPr>
              <w:keepNext w:val="0"/>
              <w:spacing w:before="60" w:after="60" w:line="320" w:lineRule="exact"/>
              <w:ind w:firstLine="0"/>
              <w:jc w:val="left"/>
            </w:pPr>
            <w:r>
              <w:rPr>
                <w:rFonts w:ascii="Times New Roman" w:hAnsi="Times New Roman" w:eastAsia="宋体"/>
                <w:b w:val="0"/>
                <w:color w:val="000000"/>
                <w:sz w:val="21"/>
              </w:rPr>
              <w:t>合成数据概念验证显示协作分析潜力</w:t>
            </w:r>
          </w:p>
        </w:tc>
        <w:tc>
          <w:tcPr>
            <w:tcW w:w="4104" w:type="dxa"/>
            <w:tcMar>
              <w:top w:w="85" w:type="dxa"/>
              <w:left w:w="85" w:type="dxa"/>
              <w:bottom w:w="85" w:type="dxa"/>
              <w:right w:w="85" w:type="dxa"/>
            </w:tcMar>
            <w:vAlign w:val="center"/>
          </w:tcPr>
          <w:p w14:paraId="3C875DAA">
            <w:pPr>
              <w:keepNext w:val="0"/>
              <w:spacing w:before="60" w:after="60" w:line="320" w:lineRule="exact"/>
              <w:ind w:firstLine="0"/>
              <w:jc w:val="left"/>
            </w:pPr>
            <w:r>
              <w:rPr>
                <w:rFonts w:ascii="Times New Roman" w:hAnsi="Times New Roman" w:eastAsia="宋体"/>
                <w:b w:val="0"/>
                <w:color w:val="000000"/>
                <w:sz w:val="21"/>
              </w:rPr>
              <w:t>已在生产环境实现同等效果</w:t>
            </w:r>
          </w:p>
        </w:tc>
      </w:tr>
      <w:tr w14:paraId="1DBFE9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32" w:type="dxa"/>
            <w:tcMar>
              <w:top w:w="85" w:type="dxa"/>
              <w:left w:w="85" w:type="dxa"/>
              <w:bottom w:w="85" w:type="dxa"/>
              <w:right w:w="85" w:type="dxa"/>
            </w:tcMar>
            <w:vAlign w:val="center"/>
          </w:tcPr>
          <w:p w14:paraId="0FCCE698">
            <w:pPr>
              <w:keepNext w:val="0"/>
              <w:spacing w:before="60" w:after="60" w:line="320" w:lineRule="exact"/>
              <w:ind w:firstLine="0"/>
              <w:jc w:val="left"/>
            </w:pPr>
            <w:r>
              <w:rPr>
                <w:rFonts w:ascii="Times New Roman" w:hAnsi="Times New Roman" w:eastAsia="宋体"/>
                <w:b w:val="0"/>
                <w:color w:val="000000"/>
                <w:sz w:val="21"/>
              </w:rPr>
              <w:t xml:space="preserve">Fu等，2022 </w:t>
            </w:r>
            <w:r>
              <w:rPr>
                <w:rFonts w:ascii="Times New Roman" w:hAnsi="Times New Roman" w:eastAsia="宋体"/>
                <w:b w:val="0"/>
                <w:color w:val="000000"/>
                <w:sz w:val="21"/>
                <w:vertAlign w:val="superscript"/>
              </w:rPr>
              <w:t>[15]</w:t>
            </w:r>
          </w:p>
        </w:tc>
        <w:tc>
          <w:tcPr>
            <w:tcW w:w="3168" w:type="dxa"/>
            <w:tcMar>
              <w:top w:w="85" w:type="dxa"/>
              <w:left w:w="85" w:type="dxa"/>
              <w:bottom w:w="85" w:type="dxa"/>
              <w:right w:w="85" w:type="dxa"/>
            </w:tcMar>
            <w:vAlign w:val="center"/>
          </w:tcPr>
          <w:p w14:paraId="2EDAA207">
            <w:pPr>
              <w:keepNext w:val="0"/>
              <w:spacing w:before="60" w:after="60" w:line="320" w:lineRule="exact"/>
              <w:ind w:firstLine="0"/>
              <w:jc w:val="left"/>
            </w:pPr>
            <w:r>
              <w:rPr>
                <w:rFonts w:ascii="Times New Roman" w:hAnsi="Times New Roman" w:eastAsia="宋体"/>
                <w:b w:val="0"/>
                <w:color w:val="000000"/>
                <w:sz w:val="21"/>
              </w:rPr>
              <w:t>VFL标签可能被本地模型和训练反馈推断</w:t>
            </w:r>
          </w:p>
        </w:tc>
        <w:tc>
          <w:tcPr>
            <w:tcW w:w="4104" w:type="dxa"/>
            <w:tcMar>
              <w:top w:w="85" w:type="dxa"/>
              <w:left w:w="85" w:type="dxa"/>
              <w:bottom w:w="85" w:type="dxa"/>
              <w:right w:w="85" w:type="dxa"/>
            </w:tcMar>
            <w:vAlign w:val="center"/>
          </w:tcPr>
          <w:p w14:paraId="666D4C62">
            <w:pPr>
              <w:keepNext w:val="0"/>
              <w:spacing w:before="60" w:after="60" w:line="320" w:lineRule="exact"/>
              <w:ind w:firstLine="0"/>
              <w:jc w:val="left"/>
            </w:pPr>
            <w:r>
              <w:rPr>
                <w:rFonts w:ascii="Times New Roman" w:hAnsi="Times New Roman" w:eastAsia="宋体"/>
                <w:b w:val="0"/>
                <w:color w:val="000000"/>
                <w:sz w:val="21"/>
              </w:rPr>
              <w:t>当前项目已经发生相同强度的泄露</w:t>
            </w:r>
          </w:p>
        </w:tc>
      </w:tr>
    </w:tbl>
    <w:p w14:paraId="0F87D3E2">
      <w:pPr>
        <w:pStyle w:val="3"/>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4</w:t>
      </w:r>
      <w:r>
        <w:rPr>
          <w:rFonts w:ascii="Times New Roman" w:hAnsi="Times New Roman" w:eastAsia="宋体" w:cstheme="minorBidi"/>
          <w:b/>
          <w:bCs/>
          <w:color w:val="000000"/>
          <w:sz w:val="28"/>
          <w:szCs w:val="24"/>
          <w:lang w:val="en-US" w:eastAsia="en-US" w:bidi="ar-SA"/>
        </w:rPr>
        <w:t xml:space="preserve"> 尚待解决的问题</w:t>
      </w:r>
    </w:p>
    <w:p w14:paraId="13745A6E">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4</w:t>
      </w:r>
      <w:r>
        <w:rPr>
          <w:rFonts w:ascii="Times New Roman" w:hAnsi="Times New Roman" w:eastAsia="宋体" w:cstheme="minorBidi"/>
          <w:b/>
          <w:bCs/>
          <w:color w:val="000000"/>
          <w:sz w:val="28"/>
          <w:szCs w:val="24"/>
          <w:lang w:val="en-US" w:eastAsia="en-US" w:bidi="ar-SA"/>
        </w:rPr>
        <w:t>.1 威胁模型与真实部署之间存在距离</w:t>
      </w:r>
    </w:p>
    <w:p w14:paraId="05EFF277">
      <w:pPr>
        <w:jc w:val="both"/>
      </w:pPr>
      <w:r>
        <w:t>许多保护结论依赖特定协议、参与方数量和攻击者知识。对金融机构之间的长期合作，攻击者可能掌握公开年报、历史客户信息或先前模型输出，不能只评估“无辅助知识”的攻击。同时，监管机构、商业数据提供方和外包技术方的权限不同，不能默认所有角色具有相同信任等级。应将参与方能观察的标识、表示、梯度、标签、日志和结果列成数据流清单，再判断现有机制是否覆盖目标威胁。</w:t>
      </w:r>
    </w:p>
    <w:p w14:paraId="2512CEE8">
      <w:pPr>
        <w:pStyle w:val="4"/>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4</w:t>
      </w:r>
      <w:r>
        <w:rPr>
          <w:rFonts w:ascii="Times New Roman" w:hAnsi="Times New Roman" w:eastAsia="宋体" w:cstheme="minorBidi"/>
          <w:b/>
          <w:bCs/>
          <w:color w:val="000000"/>
          <w:sz w:val="28"/>
          <w:szCs w:val="24"/>
          <w:lang w:val="en-US" w:eastAsia="en-US" w:bidi="ar-SA"/>
        </w:rPr>
        <w:t>.2 可用样本和标签机制会影响结论</w:t>
      </w:r>
    </w:p>
    <w:p w14:paraId="23C3E0D1">
      <w:pPr>
        <w:jc w:val="both"/>
      </w:pPr>
      <w:r>
        <w:t>纵向协作常依赖主体交集。若缺少数据的企业恰好具有更高风险，取交集会改变研究总体，不能把样本筛选带来的效果变化归因于隐私技术。企业违规记录还存在发现和披露延迟，未被记录的样本不必然是真实合规样本。对未来接入内部数据的研究，既要检查标签的可用时点，也要保护尚未公开的风险判断；已经公开的处罚事实与未公开核查线索应分开讨论。</w:t>
      </w:r>
    </w:p>
    <w:p w14:paraId="30060801">
      <w:pPr>
        <w:pStyle w:val="3"/>
        <w:rPr>
          <w:rFonts w:ascii="Times New Roman" w:hAnsi="Times New Roman" w:eastAsia="宋体" w:cstheme="minorBidi"/>
          <w:b/>
          <w:bCs/>
          <w:color w:val="000000"/>
          <w:sz w:val="28"/>
          <w:szCs w:val="24"/>
          <w:lang w:val="en-US" w:eastAsia="en-US" w:bidi="ar-SA"/>
        </w:rPr>
      </w:pPr>
      <w:r>
        <w:rPr>
          <w:rFonts w:hint="eastAsia" w:ascii="Times New Roman" w:hAnsi="Times New Roman" w:eastAsia="宋体" w:cstheme="minorBidi"/>
          <w:b/>
          <w:bCs/>
          <w:color w:val="000000"/>
          <w:sz w:val="28"/>
          <w:szCs w:val="24"/>
          <w:lang w:val="en-US" w:eastAsia="zh-CN" w:bidi="ar-SA"/>
        </w:rPr>
        <w:t>5</w:t>
      </w:r>
      <w:r>
        <w:rPr>
          <w:rFonts w:ascii="Times New Roman" w:hAnsi="Times New Roman" w:eastAsia="宋体" w:cstheme="minorBidi"/>
          <w:b/>
          <w:bCs/>
          <w:color w:val="000000"/>
          <w:sz w:val="28"/>
          <w:szCs w:val="24"/>
          <w:lang w:val="en-US" w:eastAsia="en-US" w:bidi="ar-SA"/>
        </w:rPr>
        <w:t xml:space="preserve"> 结论</w:t>
      </w:r>
    </w:p>
    <w:p w14:paraId="27A7D902">
      <w:pPr>
        <w:jc w:val="both"/>
      </w:pPr>
      <w:r>
        <w:t>金融领域隐私保护的核心研究问题，是在明确的数据处理权限和攻击假设下保留联合分析的价值。现有金融、统计与安全研究形成了相互补充的认识：多源信息可能提升风险判断，保护机制会改变可用信息及统计效用，分布式计算中传递的表示和结果也存在泄露渠道。没有一种技术可以仅凭名称同时替代合法处理基础、计算保密和输出保护。</w:t>
      </w:r>
    </w:p>
    <w:p w14:paraId="2E83CBE3">
      <w:pPr>
        <w:jc w:val="both"/>
      </w:pPr>
      <w:r>
        <w:t>对企业违规风险排序而言，背景论证宜落在“</w:t>
      </w:r>
      <w:r>
        <w:rPr>
          <w:highlight w:val="yellow"/>
        </w:rPr>
        <w:t>多源协作需求与数据共享约束同时存在</w:t>
      </w:r>
      <w:r>
        <w:t>”。公开数据实验能够为算法与接口可行性提供依据，而跨机构隐私安全需要进一步的威胁建模、保护机制和验证。将研究目标设为“</w:t>
      </w:r>
      <w:r>
        <w:rPr>
          <w:highlight w:val="yellow"/>
        </w:rPr>
        <w:t>在可接受的排序损失与协作开销下减少非必要信息披露</w:t>
      </w:r>
      <w:r>
        <w:t>”，既与金融数据治理要求相衔接，也能避免把当前模型尚未验证的能力写成既有成果。</w:t>
      </w:r>
    </w:p>
    <w:p w14:paraId="0DC8565A">
      <w:pPr>
        <w:jc w:val="both"/>
      </w:pPr>
    </w:p>
    <w:p w14:paraId="396F431E">
      <w:pPr>
        <w:pStyle w:val="4"/>
        <w:rPr>
          <w:rFonts w:hint="eastAsia" w:ascii="Times New Roman" w:hAnsi="Times New Roman" w:eastAsia="宋体" w:cstheme="minorBidi"/>
          <w:b/>
          <w:bCs/>
          <w:color w:val="000000"/>
          <w:sz w:val="28"/>
          <w:szCs w:val="24"/>
          <w:lang w:val="en-US" w:eastAsia="zh-CN" w:bidi="ar-SA"/>
        </w:rPr>
      </w:pPr>
      <w:r>
        <w:rPr>
          <w:rFonts w:hint="eastAsia" w:ascii="Times New Roman" w:hAnsi="Times New Roman" w:eastAsia="宋体" w:cstheme="minorBidi"/>
          <w:b/>
          <w:bCs/>
          <w:color w:val="000000"/>
          <w:sz w:val="28"/>
          <w:szCs w:val="24"/>
          <w:lang w:val="en-US" w:eastAsia="zh-CN" w:bidi="ar-SA"/>
        </w:rPr>
        <w:t>建议采用的切入段落</w:t>
      </w:r>
    </w:p>
    <w:p w14:paraId="3285DBCF">
      <w:pPr>
        <w:pStyle w:val="167"/>
        <w:jc w:val="both"/>
      </w:pPr>
      <w:r>
        <w:rPr>
          <w:highlight w:val="yellow"/>
        </w:rPr>
        <w:t>金融风险识别需要综合不同机构和业务环节掌握的信息，但信息互补并不意味着可以无限制地集中原始数据。</w:t>
      </w:r>
      <w:r>
        <w:t>国家层面的金融数据治理文件持续强化共享、委托处理和访问管理；金融统计与计算研究也在探索隐私约束下的联合分析。因此，本项目从多源数据协作切入企业违规风险排序，研究市场、财务、治理与审计信息在分节点结构中的有效利用。当前已形成原始字段不汇集的建模原型，后续将进一步检验中间表示的泄露风险及保护机制对排序效果的影响。</w:t>
      </w:r>
      <w:r>
        <w:rPr>
          <w:sz w:val="18"/>
          <w:vertAlign w:val="superscript"/>
        </w:rPr>
        <w:t>[5,6,24,28]</w:t>
      </w:r>
    </w:p>
    <w:p w14:paraId="1BC617F0">
      <w:pPr>
        <w:pStyle w:val="3"/>
        <w:rPr>
          <w:rFonts w:hint="eastAsia" w:ascii="Times New Roman" w:hAnsi="Times New Roman" w:eastAsia="宋体" w:cstheme="minorBidi"/>
          <w:b/>
          <w:bCs/>
          <w:color w:val="000000"/>
          <w:sz w:val="28"/>
          <w:szCs w:val="24"/>
          <w:lang w:val="en-US" w:eastAsia="zh-CN" w:bidi="ar-SA"/>
        </w:rPr>
      </w:pPr>
      <w:r>
        <w:rPr>
          <w:rFonts w:hint="eastAsia" w:ascii="Times New Roman" w:hAnsi="Times New Roman" w:eastAsia="宋体" w:cstheme="minorBidi"/>
          <w:b/>
          <w:bCs/>
          <w:color w:val="000000"/>
          <w:sz w:val="28"/>
          <w:szCs w:val="24"/>
          <w:lang w:val="en-US" w:eastAsia="zh-CN" w:bidi="ar-SA"/>
        </w:rPr>
        <w:t>参考文献</w:t>
      </w:r>
    </w:p>
    <w:p w14:paraId="17FA46FC">
      <w:pPr>
        <w:pStyle w:val="165"/>
        <w:jc w:val="both"/>
      </w:pPr>
      <w:r>
        <w:t xml:space="preserve">[1] BERG T, BURG V, GOMBOVIĆ A, et al. On the Rise of FinTechs: Credit Scoring Using Digital Footprints[J]. The Review of Financial Studies, 2020, 33(7): 2845-2897. </w:t>
      </w:r>
      <w:r>
        <w:fldChar w:fldCharType="begin"/>
      </w:r>
      <w:r>
        <w:instrText xml:space="preserve"> HYPERLINK "https://doi.org/10.1093/rfs/hhz099" \h </w:instrText>
      </w:r>
      <w:r>
        <w:fldChar w:fldCharType="separate"/>
      </w:r>
      <w:r>
        <w:rPr>
          <w:rFonts w:ascii="Times New Roman" w:hAnsi="Times New Roman" w:eastAsia="宋体"/>
          <w:color w:val="1F4E79"/>
        </w:rPr>
        <w:t>DOI 10.1093/rfs/hhz099</w:t>
      </w:r>
      <w:r>
        <w:rPr>
          <w:rFonts w:ascii="Times New Roman" w:hAnsi="Times New Roman" w:eastAsia="宋体"/>
          <w:color w:val="1F4E79"/>
        </w:rPr>
        <w:fldChar w:fldCharType="end"/>
      </w:r>
    </w:p>
    <w:p w14:paraId="720287D7">
      <w:pPr>
        <w:pStyle w:val="165"/>
        <w:jc w:val="both"/>
      </w:pPr>
      <w:r>
        <w:t xml:space="preserve">[2] ACQUISTI A, TAYLOR C, WAGMAN L. The Economics of Privacy[J]. Journal of Economic Literature, 2016, 54(2): 442-492. </w:t>
      </w:r>
      <w:r>
        <w:fldChar w:fldCharType="begin"/>
      </w:r>
      <w:r>
        <w:instrText xml:space="preserve"> HYPERLINK "https://doi.org/10.1257/jel.54.2.442" \h </w:instrText>
      </w:r>
      <w:r>
        <w:fldChar w:fldCharType="separate"/>
      </w:r>
      <w:r>
        <w:rPr>
          <w:rFonts w:ascii="Times New Roman" w:hAnsi="Times New Roman" w:eastAsia="宋体"/>
          <w:color w:val="1F4E79"/>
        </w:rPr>
        <w:t>DOI 10.1257/jel.54.2.442</w:t>
      </w:r>
      <w:r>
        <w:rPr>
          <w:rFonts w:ascii="Times New Roman" w:hAnsi="Times New Roman" w:eastAsia="宋体"/>
          <w:color w:val="1F4E79"/>
        </w:rPr>
        <w:fldChar w:fldCharType="end"/>
      </w:r>
    </w:p>
    <w:p w14:paraId="5CDF2BBA">
      <w:pPr>
        <w:pStyle w:val="165"/>
        <w:jc w:val="both"/>
      </w:pPr>
      <w:r>
        <w:t xml:space="preserve">[3] 经济参考报. 金融机构App屡被通报 多方力促合规发展[N/OL]. (2024-04-24)[2026-10-22]. 新华网. </w:t>
      </w:r>
      <w:r>
        <w:fldChar w:fldCharType="begin"/>
      </w:r>
      <w:r>
        <w:instrText xml:space="preserve"> HYPERLINK "https://www.xinhuanet.com/20240424/074efb1bee624a718ec41963e7ae4b8a/c.html" \h </w:instrText>
      </w:r>
      <w:r>
        <w:fldChar w:fldCharType="separate"/>
      </w:r>
      <w:r>
        <w:rPr>
          <w:rFonts w:ascii="Times New Roman" w:hAnsi="Times New Roman" w:eastAsia="宋体"/>
          <w:color w:val="1F4E79"/>
        </w:rPr>
        <w:t>报道原文</w:t>
      </w:r>
      <w:r>
        <w:rPr>
          <w:rFonts w:ascii="Times New Roman" w:hAnsi="Times New Roman" w:eastAsia="宋体"/>
          <w:color w:val="1F4E79"/>
        </w:rPr>
        <w:fldChar w:fldCharType="end"/>
      </w:r>
    </w:p>
    <w:p w14:paraId="1ACC40F1">
      <w:pPr>
        <w:pStyle w:val="165"/>
        <w:jc w:val="both"/>
      </w:pPr>
      <w:r>
        <w:t xml:space="preserve">[4] 全国人民代表大会常务委员会. 中华人民共和国个人信息保护法[Z/OL]. (2021-08-20)[2026-10-22]. </w:t>
      </w:r>
      <w:r>
        <w:fldChar w:fldCharType="begin"/>
      </w:r>
      <w:r>
        <w:instrText xml:space="preserve"> HYPERLINK "https://www.cac.gov.cn/2021-08/20/c_1631050028355286.htm" \h </w:instrText>
      </w:r>
      <w:r>
        <w:fldChar w:fldCharType="separate"/>
      </w:r>
      <w:r>
        <w:rPr>
          <w:rFonts w:ascii="Times New Roman" w:hAnsi="Times New Roman" w:eastAsia="宋体"/>
          <w:color w:val="1F4E79"/>
        </w:rPr>
        <w:t>法律原文</w:t>
      </w:r>
      <w:r>
        <w:rPr>
          <w:rFonts w:ascii="Times New Roman" w:hAnsi="Times New Roman" w:eastAsia="宋体"/>
          <w:color w:val="1F4E79"/>
        </w:rPr>
        <w:fldChar w:fldCharType="end"/>
      </w:r>
    </w:p>
    <w:p w14:paraId="7AFBC953">
      <w:pPr>
        <w:pStyle w:val="165"/>
        <w:jc w:val="both"/>
      </w:pPr>
      <w:r>
        <w:t xml:space="preserve">[5] 国家金融监督管理总局. 关于印发银行保险机构数据安全管理办法的通知：金规〔2024〕24号[Z/OL]. (2024-12-27)[2026-10-22]. </w:t>
      </w:r>
      <w:r>
        <w:fldChar w:fldCharType="begin"/>
      </w:r>
      <w:r>
        <w:instrText xml:space="preserve"> HYPERLINK "https://app.www.gov.cn/govdata/gov/202412/29/523120/article.html" \h </w:instrText>
      </w:r>
      <w:r>
        <w:fldChar w:fldCharType="separate"/>
      </w:r>
      <w:r>
        <w:rPr>
          <w:rFonts w:ascii="Times New Roman" w:hAnsi="Times New Roman" w:eastAsia="宋体"/>
          <w:color w:val="1F4E79"/>
        </w:rPr>
        <w:t>官方原文</w:t>
      </w:r>
      <w:r>
        <w:rPr>
          <w:rFonts w:ascii="Times New Roman" w:hAnsi="Times New Roman" w:eastAsia="宋体"/>
          <w:color w:val="1F4E79"/>
        </w:rPr>
        <w:fldChar w:fldCharType="end"/>
      </w:r>
    </w:p>
    <w:p w14:paraId="2FF1B4F8">
      <w:pPr>
        <w:pStyle w:val="165"/>
        <w:jc w:val="both"/>
      </w:pPr>
      <w:r>
        <w:t xml:space="preserve">[6] 中国人民银行. 中国人民银行业务领域数据安全管理办法：中国人民银行令〔2025〕第3号[Z/OL]. (2025-05-01)[2026-10-22]. </w:t>
      </w:r>
      <w:r>
        <w:fldChar w:fldCharType="begin"/>
      </w:r>
      <w:r>
        <w:instrText xml:space="preserve"> HYPERLINK "https://www.pbc.gov.cn/zhengwugongkai/attachDir/2025/11/2025111915275027791.pdf" \h </w:instrText>
      </w:r>
      <w:r>
        <w:fldChar w:fldCharType="separate"/>
      </w:r>
      <w:r>
        <w:rPr>
          <w:rFonts w:ascii="Times New Roman" w:hAnsi="Times New Roman" w:eastAsia="宋体"/>
          <w:color w:val="1F4E79"/>
        </w:rPr>
        <w:t>人民银行规章原文</w:t>
      </w:r>
      <w:r>
        <w:rPr>
          <w:rFonts w:ascii="Times New Roman" w:hAnsi="Times New Roman" w:eastAsia="宋体"/>
          <w:color w:val="1F4E79"/>
        </w:rPr>
        <w:fldChar w:fldCharType="end"/>
      </w:r>
    </w:p>
    <w:p w14:paraId="253D7407">
      <w:pPr>
        <w:pStyle w:val="165"/>
        <w:jc w:val="both"/>
      </w:pPr>
      <w:r>
        <w:t xml:space="preserve">[7] 中国证券监督管理委员会. 证监会发布证券期货业网络和信息安全管理办法[EB/OL]. (2023-03-03)[2026-10-22]. </w:t>
      </w:r>
      <w:r>
        <w:fldChar w:fldCharType="begin"/>
      </w:r>
      <w:r>
        <w:instrText xml:space="preserve"> HYPERLINK "https://www.csrc.gov.cn/csrc/c100028/c7202729/content.shtml" \h </w:instrText>
      </w:r>
      <w:r>
        <w:fldChar w:fldCharType="separate"/>
      </w:r>
      <w:r>
        <w:rPr>
          <w:rFonts w:ascii="Times New Roman" w:hAnsi="Times New Roman" w:eastAsia="宋体"/>
          <w:color w:val="1F4E79"/>
        </w:rPr>
        <w:t>官方发布说明</w:t>
      </w:r>
      <w:r>
        <w:rPr>
          <w:rFonts w:ascii="Times New Roman" w:hAnsi="Times New Roman" w:eastAsia="宋体"/>
          <w:color w:val="1F4E79"/>
        </w:rPr>
        <w:fldChar w:fldCharType="end"/>
      </w:r>
    </w:p>
    <w:p w14:paraId="5AA337E6">
      <w:pPr>
        <w:pStyle w:val="165"/>
        <w:jc w:val="both"/>
      </w:pPr>
      <w:r>
        <w:t xml:space="preserve">[8] 吴雨, 任军. 新华社权威快报丨六部门发文促进和规范金融业数据跨境流动[N/OL]. (2025-04-17)[2026-10-22]. 新华网. </w:t>
      </w:r>
      <w:r>
        <w:fldChar w:fldCharType="begin"/>
      </w:r>
      <w:r>
        <w:instrText xml:space="preserve"> HYPERLINK "https://www.news.cn/20250417/b669f740b027480ab4c40a2adea409dc/c.html" \h </w:instrText>
      </w:r>
      <w:r>
        <w:fldChar w:fldCharType="separate"/>
      </w:r>
      <w:r>
        <w:rPr>
          <w:rFonts w:ascii="Times New Roman" w:hAnsi="Times New Roman" w:eastAsia="宋体"/>
          <w:color w:val="1F4E79"/>
        </w:rPr>
        <w:t>新华社报道原文</w:t>
      </w:r>
      <w:r>
        <w:rPr>
          <w:rFonts w:ascii="Times New Roman" w:hAnsi="Times New Roman" w:eastAsia="宋体"/>
          <w:color w:val="1F4E79"/>
        </w:rPr>
        <w:fldChar w:fldCharType="end"/>
      </w:r>
    </w:p>
    <w:p w14:paraId="2120D4B8">
      <w:pPr>
        <w:pStyle w:val="165"/>
        <w:jc w:val="both"/>
      </w:pPr>
      <w:r>
        <w:t xml:space="preserve">[9] 中国人民银行. 多方安全计算金融应用技术规范：JR/T 0196—2020[S/OL]. (2020-11-24)[2026-10-22]. </w:t>
      </w:r>
      <w:r>
        <w:fldChar w:fldCharType="begin"/>
      </w:r>
      <w:r>
        <w:instrText xml:space="preserve"> HYPERLINK "https://std.samr.gov.cn/hb/search/stdHBDetailed?id=B7BA9DE9181993F3E05397BE0A0A1FD2" \h </w:instrText>
      </w:r>
      <w:r>
        <w:fldChar w:fldCharType="separate"/>
      </w:r>
      <w:r>
        <w:rPr>
          <w:rFonts w:ascii="Times New Roman" w:hAnsi="Times New Roman" w:eastAsia="宋体"/>
          <w:color w:val="1F4E79"/>
        </w:rPr>
        <w:t>全国标准信息公共服务平台</w:t>
      </w:r>
      <w:r>
        <w:rPr>
          <w:rFonts w:ascii="Times New Roman" w:hAnsi="Times New Roman" w:eastAsia="宋体"/>
          <w:color w:val="1F4E79"/>
        </w:rPr>
        <w:fldChar w:fldCharType="end"/>
      </w:r>
    </w:p>
    <w:p w14:paraId="4D2C873E">
      <w:pPr>
        <w:pStyle w:val="165"/>
        <w:jc w:val="both"/>
      </w:pPr>
      <w:r>
        <w:t xml:space="preserve">[10] DWORK C, SMITH A, STEINKE T, et al. Exposed! A Survey of Attacks on Private Data[J]. Annual Review of Statistics and Its Application, 2017, 4: 61-84. </w:t>
      </w:r>
      <w:r>
        <w:fldChar w:fldCharType="begin"/>
      </w:r>
      <w:r>
        <w:instrText xml:space="preserve"> HYPERLINK "https://doi.org/10.1146/annurev-statistics-060116-054123" \h </w:instrText>
      </w:r>
      <w:r>
        <w:fldChar w:fldCharType="separate"/>
      </w:r>
      <w:r>
        <w:rPr>
          <w:rFonts w:ascii="Times New Roman" w:hAnsi="Times New Roman" w:eastAsia="宋体"/>
          <w:color w:val="1F4E79"/>
        </w:rPr>
        <w:t>DOI 10.1146/annurev-statistics-060116-054123</w:t>
      </w:r>
      <w:r>
        <w:rPr>
          <w:rFonts w:ascii="Times New Roman" w:hAnsi="Times New Roman" w:eastAsia="宋体"/>
          <w:color w:val="1F4E79"/>
        </w:rPr>
        <w:fldChar w:fldCharType="end"/>
      </w:r>
    </w:p>
    <w:p w14:paraId="22E751C0">
      <w:pPr>
        <w:pStyle w:val="165"/>
        <w:jc w:val="both"/>
      </w:pPr>
      <w:r>
        <w:t xml:space="preserve">[11] YANG Q, LIU Y, CHEN T, et al. Federated Machine Learning: Concept and Applications[J]. ACM Transactions on Intelligent Systems and Technology, 2019, 10(2): 12:1-12:19. </w:t>
      </w:r>
      <w:r>
        <w:fldChar w:fldCharType="begin"/>
      </w:r>
      <w:r>
        <w:instrText xml:space="preserve"> HYPERLINK "https://doi.org/10.1145/3298981" \h </w:instrText>
      </w:r>
      <w:r>
        <w:fldChar w:fldCharType="separate"/>
      </w:r>
      <w:r>
        <w:rPr>
          <w:rFonts w:ascii="Times New Roman" w:hAnsi="Times New Roman" w:eastAsia="宋体"/>
          <w:color w:val="1F4E79"/>
        </w:rPr>
        <w:t>DOI 10.1145/3298981</w:t>
      </w:r>
      <w:r>
        <w:rPr>
          <w:rFonts w:ascii="Times New Roman" w:hAnsi="Times New Roman" w:eastAsia="宋体"/>
          <w:color w:val="1F4E79"/>
        </w:rPr>
        <w:fldChar w:fldCharType="end"/>
      </w:r>
    </w:p>
    <w:p w14:paraId="680FD6F4">
      <w:pPr>
        <w:pStyle w:val="165"/>
        <w:jc w:val="both"/>
      </w:pPr>
      <w:r>
        <w:t xml:space="preserve">[12] KHAN A, TEN THIJ M, WILBIK A. Vertical federated learning: a structured literature review[J]. Knowledge and Information Systems, 2025, 67: 3205-3243. </w:t>
      </w:r>
      <w:r>
        <w:fldChar w:fldCharType="begin"/>
      </w:r>
      <w:r>
        <w:instrText xml:space="preserve"> HYPERLINK "https://doi.org/10.1007/s10115-025-02356-y" \h </w:instrText>
      </w:r>
      <w:r>
        <w:fldChar w:fldCharType="separate"/>
      </w:r>
      <w:r>
        <w:rPr>
          <w:rFonts w:ascii="Times New Roman" w:hAnsi="Times New Roman" w:eastAsia="宋体"/>
          <w:color w:val="1F4E79"/>
        </w:rPr>
        <w:t>DOI 10.1007/s10115-025-02356-y</w:t>
      </w:r>
      <w:r>
        <w:rPr>
          <w:rFonts w:ascii="Times New Roman" w:hAnsi="Times New Roman" w:eastAsia="宋体"/>
          <w:color w:val="1F4E79"/>
        </w:rPr>
        <w:fldChar w:fldCharType="end"/>
      </w:r>
    </w:p>
    <w:p w14:paraId="7E4AF592">
      <w:pPr>
        <w:pStyle w:val="165"/>
        <w:jc w:val="both"/>
      </w:pPr>
      <w:r>
        <w:t xml:space="preserve">[13] ZHU L, LIU Z, HAN S. Deep Leakage from Gradients[C]//Advances in Neural Information Processing Systems 32. 2019. </w:t>
      </w:r>
      <w:r>
        <w:fldChar w:fldCharType="begin"/>
      </w:r>
      <w:r>
        <w:instrText xml:space="preserve"> HYPERLINK "https://papers.neurips.cc/paper_files/paper/2019/hash/60a6c4002cc7b29142def8871531281a-Abstract.html" \h </w:instrText>
      </w:r>
      <w:r>
        <w:fldChar w:fldCharType="separate"/>
      </w:r>
      <w:r>
        <w:rPr>
          <w:rFonts w:ascii="Times New Roman" w:hAnsi="Times New Roman" w:eastAsia="宋体"/>
          <w:color w:val="1F4E79"/>
        </w:rPr>
        <w:t>NeurIPS论文原文入口</w:t>
      </w:r>
      <w:r>
        <w:rPr>
          <w:rFonts w:ascii="Times New Roman" w:hAnsi="Times New Roman" w:eastAsia="宋体"/>
          <w:color w:val="1F4E79"/>
        </w:rPr>
        <w:fldChar w:fldCharType="end"/>
      </w:r>
    </w:p>
    <w:p w14:paraId="46935570">
      <w:pPr>
        <w:pStyle w:val="165"/>
        <w:jc w:val="both"/>
      </w:pPr>
      <w:r>
        <w:t xml:space="preserve">[14] PASQUINI D, ATENIESE G, BERNASCHI M. Unleashing the Tiger: Inference Attacks on Split Learning[C]//Proceedings of the 2021 ACM SIGSAC Conference on Computer and Communications Security. New York: ACM, 2021: 2113-2129. </w:t>
      </w:r>
      <w:r>
        <w:fldChar w:fldCharType="begin"/>
      </w:r>
      <w:r>
        <w:instrText xml:space="preserve"> HYPERLINK "https://doi.org/10.1145/3460120.3485259" \h </w:instrText>
      </w:r>
      <w:r>
        <w:fldChar w:fldCharType="separate"/>
      </w:r>
      <w:r>
        <w:rPr>
          <w:rFonts w:ascii="Times New Roman" w:hAnsi="Times New Roman" w:eastAsia="宋体"/>
          <w:color w:val="1F4E79"/>
        </w:rPr>
        <w:t>DOI 10.1145/3460120.3485259</w:t>
      </w:r>
      <w:r>
        <w:rPr>
          <w:rFonts w:ascii="Times New Roman" w:hAnsi="Times New Roman" w:eastAsia="宋体"/>
          <w:color w:val="1F4E79"/>
        </w:rPr>
        <w:fldChar w:fldCharType="end"/>
      </w:r>
    </w:p>
    <w:p w14:paraId="6CDD6DFA">
      <w:pPr>
        <w:pStyle w:val="165"/>
        <w:jc w:val="both"/>
      </w:pPr>
      <w:r>
        <w:t xml:space="preserve">[15] FU C, ZHANG X, JI S, et al. Label Inference Attacks Against Vertical Federated Learning[C]//31st USENIX Security Symposium. USENIX Association, 2022: 1397-1414. </w:t>
      </w:r>
      <w:r>
        <w:fldChar w:fldCharType="begin"/>
      </w:r>
      <w:r>
        <w:instrText xml:space="preserve"> HYPERLINK "https://www.usenix.org/conference/usenixsecurity22/presentation/fu-chong" \h </w:instrText>
      </w:r>
      <w:r>
        <w:fldChar w:fldCharType="separate"/>
      </w:r>
      <w:r>
        <w:rPr>
          <w:rFonts w:ascii="Times New Roman" w:hAnsi="Times New Roman" w:eastAsia="宋体"/>
          <w:color w:val="1F4E79"/>
        </w:rPr>
        <w:t>USENIX论文原文入口</w:t>
      </w:r>
      <w:r>
        <w:rPr>
          <w:rFonts w:ascii="Times New Roman" w:hAnsi="Times New Roman" w:eastAsia="宋体"/>
          <w:color w:val="1F4E79"/>
        </w:rPr>
        <w:fldChar w:fldCharType="end"/>
      </w:r>
    </w:p>
    <w:p w14:paraId="4B082E53">
      <w:pPr>
        <w:pStyle w:val="165"/>
        <w:jc w:val="both"/>
      </w:pPr>
      <w:r>
        <w:t xml:space="preserve">[16] BONAWITZ K, IVANOV V, KREUTER B, et al. Practical Secure Aggregation for Privacy-Preserving Machine Learning[C]//Proceedings of the 2017 ACM SIGSAC Conference on Computer and Communications Security. New York: ACM, 2017: 1175-1191. </w:t>
      </w:r>
      <w:r>
        <w:fldChar w:fldCharType="begin"/>
      </w:r>
      <w:r>
        <w:instrText xml:space="preserve"> HYPERLINK "https://doi.org/10.1145/3133956.3133982" \h </w:instrText>
      </w:r>
      <w:r>
        <w:fldChar w:fldCharType="separate"/>
      </w:r>
      <w:r>
        <w:rPr>
          <w:rFonts w:ascii="Times New Roman" w:hAnsi="Times New Roman" w:eastAsia="宋体"/>
          <w:color w:val="1F4E79"/>
        </w:rPr>
        <w:t>DOI 10.1145/3133956.3133982</w:t>
      </w:r>
      <w:r>
        <w:rPr>
          <w:rFonts w:ascii="Times New Roman" w:hAnsi="Times New Roman" w:eastAsia="宋体"/>
          <w:color w:val="1F4E79"/>
        </w:rPr>
        <w:fldChar w:fldCharType="end"/>
      </w:r>
    </w:p>
    <w:p w14:paraId="77DFDF15">
      <w:pPr>
        <w:pStyle w:val="165"/>
        <w:jc w:val="both"/>
      </w:pPr>
      <w:r>
        <w:t xml:space="preserve">[17] CHENG K, FAN T, JIN Y, et al. SecureBoost: A Lossless Federated Learning Framework[J]. IEEE Intelligent Systems, 2021, 36(6): 87-98. </w:t>
      </w:r>
      <w:r>
        <w:fldChar w:fldCharType="begin"/>
      </w:r>
      <w:r>
        <w:instrText xml:space="preserve"> HYPERLINK "https://doi.org/10.1109/MIS.2021.3082561" \h </w:instrText>
      </w:r>
      <w:r>
        <w:fldChar w:fldCharType="separate"/>
      </w:r>
      <w:r>
        <w:rPr>
          <w:rFonts w:ascii="Times New Roman" w:hAnsi="Times New Roman" w:eastAsia="宋体"/>
          <w:color w:val="1F4E79"/>
        </w:rPr>
        <w:t>DOI 10.1109/MIS.2021.3082561</w:t>
      </w:r>
      <w:r>
        <w:rPr>
          <w:rFonts w:ascii="Times New Roman" w:hAnsi="Times New Roman" w:eastAsia="宋体"/>
          <w:color w:val="1F4E79"/>
        </w:rPr>
        <w:fldChar w:fldCharType="end"/>
      </w:r>
    </w:p>
    <w:p w14:paraId="73EEE00D">
      <w:pPr>
        <w:pStyle w:val="165"/>
        <w:jc w:val="both"/>
      </w:pPr>
      <w:r>
        <w:t xml:space="preserve">[18] DWORK C, ROTH A. The Algorithmic Foundations of Differential Privacy[J]. Foundations and Trends in Theoretical Computer Science, 2014, 9(3-4): 211-407. </w:t>
      </w:r>
      <w:r>
        <w:fldChar w:fldCharType="begin"/>
      </w:r>
      <w:r>
        <w:instrText xml:space="preserve"> HYPERLINK "https://doi.org/10.1561/0400000042" \h </w:instrText>
      </w:r>
      <w:r>
        <w:fldChar w:fldCharType="separate"/>
      </w:r>
      <w:r>
        <w:rPr>
          <w:rFonts w:ascii="Times New Roman" w:hAnsi="Times New Roman" w:eastAsia="宋体"/>
          <w:color w:val="1F4E79"/>
        </w:rPr>
        <w:t>DOI 10.1561/0400000042</w:t>
      </w:r>
      <w:r>
        <w:rPr>
          <w:rFonts w:ascii="Times New Roman" w:hAnsi="Times New Roman" w:eastAsia="宋体"/>
          <w:color w:val="1F4E79"/>
        </w:rPr>
        <w:fldChar w:fldCharType="end"/>
      </w:r>
    </w:p>
    <w:p w14:paraId="7743060A">
      <w:pPr>
        <w:pStyle w:val="165"/>
        <w:jc w:val="both"/>
      </w:pPr>
      <w:r>
        <w:t xml:space="preserve">[19] NEAR J, DARAIS D, LEFKOVITZ N, et al. Guidelines for Evaluating Differential Privacy Guarantees: NIST SP 800-226[R/OL]. Gaithersburg: National Institute of Standards and Technology, 2025[2026-10-22]. </w:t>
      </w:r>
      <w:r>
        <w:fldChar w:fldCharType="begin"/>
      </w:r>
      <w:r>
        <w:instrText xml:space="preserve"> HYPERLINK "https://doi.org/10.6028/NIST.SP.800-226" \h </w:instrText>
      </w:r>
      <w:r>
        <w:fldChar w:fldCharType="separate"/>
      </w:r>
      <w:r>
        <w:rPr>
          <w:rFonts w:ascii="Times New Roman" w:hAnsi="Times New Roman" w:eastAsia="宋体"/>
          <w:color w:val="1F4E79"/>
        </w:rPr>
        <w:t>DOI 10.6028/NIST.SP.800-226</w:t>
      </w:r>
      <w:r>
        <w:rPr>
          <w:rFonts w:ascii="Times New Roman" w:hAnsi="Times New Roman" w:eastAsia="宋体"/>
          <w:color w:val="1F4E79"/>
        </w:rPr>
        <w:fldChar w:fldCharType="end"/>
      </w:r>
    </w:p>
    <w:p w14:paraId="5846D2E2">
      <w:pPr>
        <w:pStyle w:val="165"/>
        <w:jc w:val="both"/>
      </w:pPr>
      <w:r>
        <w:t xml:space="preserve">[20] BYRD D, POLYCHRONIADOU A. Differentially Private Secure Multi-Party Computation for Federated Learning in Financial Applications[C]//Proceedings of the First ACM International Conference on AI in Finance. New York: ACM, 2020: 16:1-16:9. </w:t>
      </w:r>
      <w:r>
        <w:fldChar w:fldCharType="begin"/>
      </w:r>
      <w:r>
        <w:instrText xml:space="preserve"> HYPERLINK "https://doi.org/10.1145/3383455.3422562" \h </w:instrText>
      </w:r>
      <w:r>
        <w:fldChar w:fldCharType="separate"/>
      </w:r>
      <w:r>
        <w:rPr>
          <w:rFonts w:ascii="Times New Roman" w:hAnsi="Times New Roman" w:eastAsia="宋体"/>
          <w:color w:val="1F4E79"/>
        </w:rPr>
        <w:t>DOI 10.1145/3383455.3422562</w:t>
      </w:r>
      <w:r>
        <w:rPr>
          <w:rFonts w:ascii="Times New Roman" w:hAnsi="Times New Roman" w:eastAsia="宋体"/>
          <w:color w:val="1F4E79"/>
        </w:rPr>
        <w:fldChar w:fldCharType="end"/>
      </w:r>
    </w:p>
    <w:p w14:paraId="1AA7D0C2">
      <w:pPr>
        <w:pStyle w:val="165"/>
        <w:jc w:val="both"/>
      </w:pPr>
      <w:r>
        <w:t xml:space="preserve">[21] FINANCIAL ACTION TASK FORCE. Stocktake on Data Pooling, Collaborative Analytics and Data Protection[R/OL]. Paris: FATF, 2021[2026-10-22]. </w:t>
      </w:r>
      <w:r>
        <w:fldChar w:fldCharType="begin"/>
      </w:r>
      <w:r>
        <w:instrText xml:space="preserve"> HYPERLINK "https://www.fatf-gafi.org/en/publications/Digitaltransformation/Data-pooling-collaborative-analytics-data-protection.html" \h </w:instrText>
      </w:r>
      <w:r>
        <w:fldChar w:fldCharType="separate"/>
      </w:r>
      <w:r>
        <w:rPr>
          <w:rFonts w:ascii="Times New Roman" w:hAnsi="Times New Roman" w:eastAsia="宋体"/>
          <w:color w:val="1F4E79"/>
        </w:rPr>
        <w:t>FATF报告原文入口</w:t>
      </w:r>
      <w:r>
        <w:rPr>
          <w:rFonts w:ascii="Times New Roman" w:hAnsi="Times New Roman" w:eastAsia="宋体"/>
          <w:color w:val="1F4E79"/>
        </w:rPr>
        <w:fldChar w:fldCharType="end"/>
      </w:r>
    </w:p>
    <w:p w14:paraId="3BA8A45D">
      <w:pPr>
        <w:pStyle w:val="165"/>
        <w:jc w:val="both"/>
      </w:pPr>
      <w:r>
        <w:t xml:space="preserve">[22] ABOWD J M, SCHMUTTE I M. An Economic Analysis of Privacy Protection and Statistical Accuracy as Social Choices[J]. American Economic Review, 2019, 109(1): 171-202. </w:t>
      </w:r>
      <w:r>
        <w:fldChar w:fldCharType="begin"/>
      </w:r>
      <w:r>
        <w:instrText xml:space="preserve"> HYPERLINK "https://doi.org/10.1257/aer.20170627" \h </w:instrText>
      </w:r>
      <w:r>
        <w:fldChar w:fldCharType="separate"/>
      </w:r>
      <w:r>
        <w:rPr>
          <w:rFonts w:ascii="Times New Roman" w:hAnsi="Times New Roman" w:eastAsia="宋体"/>
          <w:color w:val="1F4E79"/>
        </w:rPr>
        <w:t>DOI 10.1257/aer.20170627</w:t>
      </w:r>
      <w:r>
        <w:rPr>
          <w:rFonts w:ascii="Times New Roman" w:hAnsi="Times New Roman" w:eastAsia="宋体"/>
          <w:color w:val="1F4E79"/>
        </w:rPr>
        <w:fldChar w:fldCharType="end"/>
      </w:r>
    </w:p>
    <w:p w14:paraId="6514A619">
      <w:pPr>
        <w:pStyle w:val="165"/>
        <w:jc w:val="both"/>
      </w:pPr>
      <w:r>
        <w:t xml:space="preserve">[23] ZHENG F, ERIHE, LI K, et al. A Vertical Federated Learning Method for Interpretable Scorecard and Its Application in Credit Scoring[EB/OL]. arXiv:2009.06218, 2020[2026-10-22]. </w:t>
      </w:r>
      <w:r>
        <w:fldChar w:fldCharType="begin"/>
      </w:r>
      <w:r>
        <w:instrText xml:space="preserve"> HYPERLINK "https://doi.org/10.48550/arXiv.2009.06218" \h </w:instrText>
      </w:r>
      <w:r>
        <w:fldChar w:fldCharType="separate"/>
      </w:r>
      <w:r>
        <w:rPr>
          <w:rFonts w:ascii="Times New Roman" w:hAnsi="Times New Roman" w:eastAsia="宋体"/>
          <w:color w:val="1F4E79"/>
        </w:rPr>
        <w:t>arXiv预印本</w:t>
      </w:r>
      <w:r>
        <w:rPr>
          <w:rFonts w:ascii="Times New Roman" w:hAnsi="Times New Roman" w:eastAsia="宋体"/>
          <w:color w:val="1F4E79"/>
        </w:rPr>
        <w:fldChar w:fldCharType="end"/>
      </w:r>
    </w:p>
    <w:p w14:paraId="2842221C">
      <w:pPr>
        <w:pStyle w:val="165"/>
        <w:jc w:val="both"/>
      </w:pPr>
      <w:r>
        <w:t xml:space="preserve">[24] 王小燕, 冮建伟, 方匡南. 隐私保护下基于多源域迁移学习的信用风险预警研究[J/OL]. 统计研究, 2026[2026-10-22]. 网络发布: 2026-09-29. </w:t>
      </w:r>
      <w:r>
        <w:fldChar w:fldCharType="begin"/>
      </w:r>
      <w:r>
        <w:instrText xml:space="preserve"> HYPERLINK "https://tjyj.cbpt.cnki.net/portal/journal/portal/client/paper/f243d107ba305b29f03087c6cc5320f6" \h </w:instrText>
      </w:r>
      <w:r>
        <w:fldChar w:fldCharType="separate"/>
      </w:r>
      <w:r>
        <w:rPr>
          <w:rFonts w:ascii="Times New Roman" w:hAnsi="Times New Roman" w:eastAsia="宋体"/>
          <w:color w:val="1F4E79"/>
        </w:rPr>
        <w:t>期刊网络发布页</w:t>
      </w:r>
      <w:r>
        <w:rPr>
          <w:rFonts w:ascii="Times New Roman" w:hAnsi="Times New Roman" w:eastAsia="宋体"/>
          <w:color w:val="1F4E79"/>
        </w:rPr>
        <w:fldChar w:fldCharType="end"/>
      </w:r>
    </w:p>
    <w:p w14:paraId="15511DC0">
      <w:pPr>
        <w:pStyle w:val="165"/>
        <w:jc w:val="both"/>
      </w:pPr>
      <w:r>
        <w:t xml:space="preserve">[25] BIS INNOVATION HUB. Project Aurora: The Power of Data, Technology and Collaboration to Combat Money Laundering Across Institutions and Borders[R/OL]. Basel: Bank for International Settlements, 2023-05-31[2026-10-22]. </w:t>
      </w:r>
      <w:r>
        <w:fldChar w:fldCharType="begin"/>
      </w:r>
      <w:r>
        <w:instrText xml:space="preserve"> HYPERLINK "https://www.bis.org/publications/project-aurora-power-data-technology-and-collaboration-combat-money-laundering-across-institutions-and-borders" \h </w:instrText>
      </w:r>
      <w:r>
        <w:fldChar w:fldCharType="separate"/>
      </w:r>
      <w:r>
        <w:rPr>
          <w:rFonts w:ascii="Times New Roman" w:hAnsi="Times New Roman" w:eastAsia="宋体"/>
          <w:color w:val="1F4E79"/>
        </w:rPr>
        <w:t>BIS报告原文入口</w:t>
      </w:r>
      <w:r>
        <w:rPr>
          <w:rFonts w:ascii="Times New Roman" w:hAnsi="Times New Roman" w:eastAsia="宋体"/>
          <w:color w:val="1F4E79"/>
        </w:rPr>
        <w:fldChar w:fldCharType="end"/>
      </w:r>
    </w:p>
    <w:p w14:paraId="2AC2322E">
      <w:pPr>
        <w:pStyle w:val="165"/>
        <w:jc w:val="both"/>
      </w:pPr>
      <w:r>
        <w:t xml:space="preserve">[26] ZHANG H, HONG J, DONG F, et al. A Privacy-Preserving Hybrid Federated Learning Framework for Financial Crime Detection[EB/OL]. arXiv:2302.03654, 2023[2026-10-22]. </w:t>
      </w:r>
      <w:r>
        <w:fldChar w:fldCharType="begin"/>
      </w:r>
      <w:r>
        <w:instrText xml:space="preserve"> HYPERLINK "https://doi.org/10.48550/arXiv.2302.03654" \h </w:instrText>
      </w:r>
      <w:r>
        <w:fldChar w:fldCharType="separate"/>
      </w:r>
      <w:r>
        <w:rPr>
          <w:rFonts w:ascii="Times New Roman" w:hAnsi="Times New Roman" w:eastAsia="宋体"/>
          <w:color w:val="1F4E79"/>
        </w:rPr>
        <w:t>arXiv预印本</w:t>
      </w:r>
      <w:r>
        <w:rPr>
          <w:rFonts w:ascii="Times New Roman" w:hAnsi="Times New Roman" w:eastAsia="宋体"/>
          <w:color w:val="1F4E79"/>
        </w:rPr>
        <w:fldChar w:fldCharType="end"/>
      </w:r>
    </w:p>
    <w:p w14:paraId="32C863D7">
      <w:pPr>
        <w:pStyle w:val="165"/>
        <w:jc w:val="both"/>
      </w:pPr>
      <w:r>
        <w:t xml:space="preserve">[27] ARAZZI M, NICOLAZZO S, NOCERA A. A defense mechanism against label inference attacks in Vertical Federated Learning[J]. Neurocomputing, 2025, 624: 129476. </w:t>
      </w:r>
      <w:r>
        <w:fldChar w:fldCharType="begin"/>
      </w:r>
      <w:r>
        <w:instrText xml:space="preserve"> HYPERLINK "https://doi.org/10.1016/j.neucom.2025.129476" \h </w:instrText>
      </w:r>
      <w:r>
        <w:fldChar w:fldCharType="separate"/>
      </w:r>
      <w:r>
        <w:rPr>
          <w:rFonts w:ascii="Times New Roman" w:hAnsi="Times New Roman" w:eastAsia="宋体"/>
          <w:color w:val="1F4E79"/>
        </w:rPr>
        <w:t>DOI 10.1016/j.neucom.2025.129476</w:t>
      </w:r>
      <w:r>
        <w:rPr>
          <w:rFonts w:ascii="Times New Roman" w:hAnsi="Times New Roman" w:eastAsia="宋体"/>
          <w:color w:val="1F4E79"/>
        </w:rPr>
        <w:fldChar w:fldCharType="end"/>
      </w:r>
    </w:p>
    <w:p w14:paraId="2B0BCC03">
      <w:pPr>
        <w:pStyle w:val="165"/>
        <w:jc w:val="both"/>
      </w:pPr>
      <w:r>
        <w:t>[28] 项目组. 中期汇报前[Z]. 内部阶段性研究材料, 未注明成文日期. 本综述查阅日期：2026-10-22.</w:t>
      </w:r>
    </w:p>
    <w:p w14:paraId="663AF660">
      <w:pPr>
        <w:pStyle w:val="4"/>
        <w:rPr>
          <w:rFonts w:hint="eastAsia" w:ascii="Times New Roman" w:hAnsi="Times New Roman" w:eastAsia="宋体" w:cstheme="minorBidi"/>
          <w:b/>
          <w:bCs/>
          <w:color w:val="000000"/>
          <w:sz w:val="28"/>
          <w:szCs w:val="24"/>
          <w:lang w:val="en-US" w:eastAsia="zh-CN" w:bidi="ar-SA"/>
        </w:rPr>
      </w:pPr>
    </w:p>
    <w:p w14:paraId="44C813F0">
      <w:pPr>
        <w:pStyle w:val="167"/>
        <w:jc w:val="both"/>
      </w:pPr>
    </w:p>
    <w:sectPr>
      <w:footerReference r:id="rId5" w:type="default"/>
      <w:pgSz w:w="12240" w:h="15840"/>
      <w:pgMar w:top="1296" w:right="1368" w:bottom="1224" w:left="1368"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62668">
    <w:pPr>
      <w:pStyle w:val="24"/>
      <w:spacing w:after="0"/>
      <w:ind w:firstLine="0"/>
      <w:jc w:val="center"/>
    </w:pPr>
    <w:r>
      <w:rPr>
        <w:rFonts w:ascii="Times New Roman" w:hAnsi="Times New Roman" w:eastAsia="宋体"/>
        <w:color w:val="000000"/>
        <w:sz w:val="20"/>
      </w:rPr>
      <w:fldChar w:fldCharType="begin"/>
    </w:r>
    <w:r>
      <w:rPr>
        <w:rFonts w:ascii="Times New Roman" w:hAnsi="Times New Roman" w:eastAsia="宋体"/>
        <w:color w:val="000000"/>
        <w:sz w:val="20"/>
      </w:rPr>
      <w:instrText xml:space="preserve"> PAGE </w:instrText>
    </w:r>
    <w:r>
      <w:rPr>
        <w:rFonts w:ascii="Times New Roman" w:hAnsi="Times New Roman" w:eastAsia="宋体"/>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EA7BDE"/>
    <w:rsid w:val="559C75EA"/>
    <w:rsid w:val="7EE25F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400" w:lineRule="exact"/>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240" w:after="120" w:line="400" w:lineRule="exact"/>
      <w:ind w:firstLine="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160" w:after="120" w:line="400" w:lineRule="exact"/>
      <w:ind w:firstLine="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160" w:after="120" w:line="400" w:lineRule="exact"/>
      <w:ind w:firstLine="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140" w:after="100" w:line="340" w:lineRule="exact"/>
      <w:ind w:firstLine="0"/>
    </w:pPr>
    <w:rPr>
      <w:rFonts w:ascii="Times New Roman" w:hAnsi="Times New Roman" w:eastAsia="宋体"/>
      <w:b/>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spacing w:after="160"/>
      <w:ind w:firstLine="0"/>
    </w:pPr>
    <w:rPr>
      <w:rFonts w:asciiTheme="majorHAnsi" w:hAnsiTheme="majorHAnsi" w:eastAsiaTheme="majorEastAsia" w:cstheme="majorBidi"/>
      <w:iCs/>
      <w:color w:val="000000"/>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200" w:line="520" w:lineRule="exact"/>
      <w:ind w:firstLine="0"/>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view Abstract"/>
    <w:qFormat/>
    <w:uiPriority w:val="0"/>
    <w:pPr>
      <w:widowControl/>
      <w:spacing w:after="100" w:line="350" w:lineRule="exact"/>
      <w:ind w:firstLine="420"/>
    </w:pPr>
    <w:rPr>
      <w:rFonts w:ascii="Times New Roman" w:hAnsi="Times New Roman" w:eastAsia="宋体" w:cstheme="minorBidi"/>
      <w:color w:val="000000"/>
      <w:sz w:val="21"/>
      <w:szCs w:val="22"/>
      <w:lang w:val="en-US" w:eastAsia="en-US" w:bidi="ar-SA"/>
    </w:rPr>
  </w:style>
  <w:style w:type="paragraph" w:customStyle="1" w:styleId="165">
    <w:name w:val="Review Reference"/>
    <w:uiPriority w:val="0"/>
    <w:pPr>
      <w:keepLines/>
      <w:widowControl/>
      <w:spacing w:after="100" w:line="350" w:lineRule="exact"/>
      <w:ind w:left="440" w:hanging="440"/>
    </w:pPr>
    <w:rPr>
      <w:rFonts w:ascii="Times New Roman" w:hAnsi="Times New Roman" w:eastAsia="宋体" w:cstheme="minorBidi"/>
      <w:color w:val="000000"/>
      <w:sz w:val="21"/>
      <w:szCs w:val="22"/>
      <w:lang w:val="en-US" w:eastAsia="en-US" w:bidi="ar-SA"/>
    </w:rPr>
  </w:style>
  <w:style w:type="paragraph" w:customStyle="1" w:styleId="166">
    <w:name w:val="Review Note"/>
    <w:uiPriority w:val="0"/>
    <w:pPr>
      <w:widowControl/>
      <w:spacing w:after="100" w:line="350" w:lineRule="exact"/>
      <w:ind w:firstLine="0"/>
    </w:pPr>
    <w:rPr>
      <w:rFonts w:ascii="Times New Roman" w:hAnsi="Times New Roman" w:eastAsia="宋体" w:cstheme="minorBidi"/>
      <w:color w:val="000000"/>
      <w:sz w:val="21"/>
      <w:szCs w:val="22"/>
      <w:lang w:val="en-US" w:eastAsia="en-US" w:bidi="ar-SA"/>
    </w:rPr>
  </w:style>
  <w:style w:type="paragraph" w:customStyle="1" w:styleId="167">
    <w:name w:val="Review Appendix"/>
    <w:uiPriority w:val="0"/>
    <w:pPr>
      <w:widowControl/>
      <w:spacing w:after="80" w:line="310" w:lineRule="exact"/>
      <w:ind w:firstLine="420"/>
    </w:pPr>
    <w:rPr>
      <w:rFonts w:ascii="Times New Roman" w:hAnsi="Times New Roman" w:eastAsia="宋体"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1891</Words>
  <Characters>1963</Characters>
  <Lines>0</Lines>
  <Paragraphs>0</Paragraphs>
  <TotalTime>8</TotalTime>
  <ScaleCrop>false</ScaleCrop>
  <LinksUpToDate>false</LinksUpToDate>
  <CharactersWithSpaces>1976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周玥希</dc:creator>
  <cp:lastModifiedBy>周玥希</cp:lastModifiedBy>
  <dcterms:modified xsi:type="dcterms:W3CDTF">2026-10-23T02:54:45Z</dcterms:modified>
  <dc:subject>面向企业违规风险排序的多源数据协作视角</dc:subject>
  <dc:title>金融领域隐私保护研究综述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eyJoZGlkIjoiMTY3ZGQ2ZWY3Y2FhMzE0ZDZkOTA2ZmYxMmY0Yzg4ZjkiLCJ1c2VySWQiOiIxNjI2MTA0NTkxIn0=</vt:lpwstr>
  </property>
  <property fmtid="{D5CDD505-2E9C-101B-9397-08002B2CF9AE}" pid="3" name="KSOProductBuildVer">
    <vt:lpwstr>2052-12.1.0.29161</vt:lpwstr>
  </property>
  <property fmtid="{D5CDD505-2E9C-101B-9397-08002B2CF9AE}" pid="4" name="ICV">
    <vt:lpwstr>98552755669A4C238A7A6041F560DF13_12</vt:lpwstr>
  </property>
</Properties>
</file>