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653A0">
      <w:pPr>
        <w:jc w:val="center"/>
        <w:rPr>
          <w:rFonts w:ascii="楷体_GB2312" w:eastAsia="楷体_GB2312"/>
          <w:b/>
          <w:sz w:val="52"/>
          <w:szCs w:val="24"/>
        </w:rPr>
      </w:pPr>
    </w:p>
    <w:p w14:paraId="41A18763">
      <w:pPr>
        <w:jc w:val="center"/>
        <w:rPr>
          <w:rFonts w:ascii="楷体_GB2312" w:eastAsia="楷体_GB2312"/>
          <w:b/>
          <w:sz w:val="52"/>
          <w:szCs w:val="24"/>
        </w:rPr>
      </w:pPr>
    </w:p>
    <w:p w14:paraId="20EDBC5E">
      <w:pPr>
        <w:jc w:val="center"/>
        <w:rPr>
          <w:rFonts w:ascii="楷体_GB2312" w:eastAsia="楷体_GB2312"/>
          <w:b/>
          <w:sz w:val="52"/>
          <w:szCs w:val="24"/>
        </w:rPr>
      </w:pPr>
      <w:r>
        <w:rPr>
          <w:rFonts w:hint="eastAsia" w:ascii="楷体_GB2312" w:eastAsia="楷体_GB2312"/>
          <w:b/>
          <w:sz w:val="52"/>
          <w:szCs w:val="24"/>
        </w:rPr>
        <w:t>华东师范大学</w:t>
      </w:r>
    </w:p>
    <w:p w14:paraId="5B6026DB">
      <w:pPr>
        <w:jc w:val="center"/>
        <w:rPr>
          <w:rFonts w:ascii="黑体" w:eastAsia="黑体"/>
          <w:b/>
          <w:sz w:val="36"/>
          <w:szCs w:val="36"/>
        </w:rPr>
      </w:pPr>
      <w:r>
        <w:rPr>
          <w:rFonts w:hint="eastAsia" w:ascii="黑体" w:eastAsia="黑体"/>
          <w:b/>
          <w:sz w:val="36"/>
          <w:szCs w:val="36"/>
        </w:rPr>
        <w:t>本科生创新训练培育项目（创新训练类）</w:t>
      </w:r>
    </w:p>
    <w:p w14:paraId="12BF8F0E">
      <w:pPr>
        <w:jc w:val="center"/>
        <w:rPr>
          <w:rFonts w:ascii="黑体" w:eastAsia="黑体"/>
          <w:b/>
          <w:sz w:val="36"/>
          <w:szCs w:val="36"/>
        </w:rPr>
      </w:pPr>
      <w:r>
        <w:rPr>
          <w:rFonts w:hint="eastAsia" w:ascii="黑体" w:eastAsia="黑体"/>
          <w:b/>
          <w:sz w:val="36"/>
          <w:szCs w:val="36"/>
        </w:rPr>
        <w:t>立项申请书</w:t>
      </w:r>
    </w:p>
    <w:p w14:paraId="715CD387">
      <w:pPr>
        <w:jc w:val="center"/>
        <w:rPr>
          <w:rFonts w:ascii="黑体" w:eastAsia="黑体"/>
          <w:b/>
          <w:sz w:val="36"/>
          <w:szCs w:val="36"/>
        </w:rPr>
      </w:pPr>
    </w:p>
    <w:p w14:paraId="5B655EB4">
      <w:pPr>
        <w:jc w:val="center"/>
        <w:rPr>
          <w:rFonts w:ascii="黑体" w:eastAsia="黑体"/>
          <w:b/>
          <w:sz w:val="36"/>
          <w:szCs w:val="36"/>
        </w:rPr>
      </w:pPr>
    </w:p>
    <w:p w14:paraId="4DF51EF5">
      <w:pPr>
        <w:rPr>
          <w:rFonts w:ascii="楷体_GB2312" w:eastAsia="楷体_GB2312"/>
          <w:b/>
          <w:sz w:val="36"/>
          <w:szCs w:val="36"/>
        </w:rPr>
      </w:pPr>
    </w:p>
    <w:p w14:paraId="5E9E7DFC">
      <w:pPr>
        <w:spacing w:before="312" w:beforeLines="100" w:after="312" w:afterLines="100"/>
        <w:ind w:firstLine="1205" w:firstLineChars="400"/>
        <w:jc w:val="left"/>
        <w:rPr>
          <w:rFonts w:hint="default" w:ascii="仿宋" w:hAnsi="仿宋" w:eastAsia="仿宋"/>
          <w:b/>
          <w:bCs/>
          <w:sz w:val="30"/>
          <w:u w:val="single"/>
          <w:lang w:val="en-US" w:eastAsia="zh-CN"/>
        </w:rPr>
      </w:pPr>
      <w:r>
        <w:rPr>
          <w:rFonts w:hint="eastAsia" w:ascii="仿宋" w:hAnsi="仿宋" w:eastAsia="仿宋"/>
          <w:b/>
          <w:bCs/>
          <w:sz w:val="30"/>
        </w:rPr>
        <w:t>项目名称：</w:t>
      </w:r>
      <w:r>
        <w:rPr>
          <w:rFonts w:hint="eastAsia" w:ascii="仿宋" w:hAnsi="仿宋" w:eastAsia="仿宋"/>
          <w:b/>
          <w:bCs/>
          <w:sz w:val="30"/>
          <w:lang w:val="en-US" w:eastAsia="zh-CN"/>
        </w:rPr>
        <w:t>__</w:t>
      </w:r>
      <w:r>
        <w:rPr>
          <w:rFonts w:hint="eastAsia" w:ascii="仿宋" w:hAnsi="仿宋" w:eastAsia="仿宋"/>
          <w:b/>
          <w:bCs/>
          <w:sz w:val="30"/>
          <w:u w:val="single"/>
          <w:lang w:val="en-US" w:eastAsia="zh-CN"/>
        </w:rPr>
        <w:t>上海市</w:t>
      </w:r>
      <w:r>
        <w:rPr>
          <w:rFonts w:hint="eastAsia" w:ascii="仿宋" w:hAnsi="仿宋" w:eastAsia="仿宋"/>
          <w:b/>
          <w:bCs/>
          <w:sz w:val="30"/>
          <w:u w:val="single"/>
        </w:rPr>
        <w:t>信托破局以房养老的策略研究</w:t>
      </w:r>
      <w:r>
        <w:rPr>
          <w:rFonts w:hint="eastAsia" w:ascii="仿宋" w:hAnsi="仿宋" w:eastAsia="仿宋"/>
          <w:b/>
          <w:bCs/>
          <w:sz w:val="30"/>
          <w:u w:val="single"/>
          <w:lang w:val="en-US" w:eastAsia="zh-CN"/>
        </w:rPr>
        <w:t xml:space="preserve">  </w:t>
      </w:r>
    </w:p>
    <w:p w14:paraId="015403EB">
      <w:pPr>
        <w:spacing w:before="312" w:beforeLines="100" w:after="312" w:afterLines="100"/>
        <w:ind w:firstLine="1205" w:firstLineChars="400"/>
        <w:jc w:val="left"/>
        <w:rPr>
          <w:rFonts w:ascii="仿宋" w:hAnsi="仿宋" w:eastAsia="仿宋"/>
          <w:b/>
          <w:bCs/>
          <w:sz w:val="30"/>
          <w:u w:val="single"/>
        </w:rPr>
      </w:pPr>
      <w:r>
        <w:rPr>
          <w:rFonts w:hint="eastAsia" w:ascii="仿宋" w:hAnsi="仿宋" w:eastAsia="仿宋"/>
          <w:b/>
          <w:bCs/>
          <w:sz w:val="30"/>
        </w:rPr>
        <w:t>项目负责人：</w:t>
      </w:r>
      <w:r>
        <w:rPr>
          <w:rFonts w:hint="eastAsia" w:ascii="仿宋" w:hAnsi="仿宋" w:eastAsia="仿宋"/>
          <w:b/>
          <w:bCs/>
          <w:sz w:val="30"/>
          <w:u w:val="single"/>
        </w:rPr>
        <w:t xml:space="preserve">           </w:t>
      </w:r>
      <w:r>
        <w:rPr>
          <w:rFonts w:hint="eastAsia" w:ascii="仿宋" w:hAnsi="仿宋" w:eastAsia="仿宋"/>
          <w:b/>
          <w:bCs/>
          <w:sz w:val="30"/>
          <w:u w:val="single"/>
          <w:lang w:val="en-US" w:eastAsia="zh-CN"/>
        </w:rPr>
        <w:t>沈妍</w:t>
      </w:r>
      <w:r>
        <w:rPr>
          <w:rFonts w:hint="eastAsia" w:ascii="仿宋" w:hAnsi="仿宋" w:eastAsia="仿宋"/>
          <w:b/>
          <w:bCs/>
          <w:sz w:val="30"/>
          <w:u w:val="single"/>
        </w:rPr>
        <w:t xml:space="preserve">             </w:t>
      </w:r>
    </w:p>
    <w:p w14:paraId="0F26F9E8">
      <w:pPr>
        <w:spacing w:before="312" w:beforeLines="100" w:after="312" w:afterLines="100"/>
        <w:ind w:firstLine="1205" w:firstLineChars="400"/>
        <w:jc w:val="left"/>
        <w:rPr>
          <w:rFonts w:ascii="仿宋" w:hAnsi="仿宋" w:eastAsia="仿宋"/>
          <w:b/>
          <w:bCs/>
          <w:sz w:val="30"/>
          <w:u w:val="single"/>
        </w:rPr>
      </w:pPr>
      <w:r>
        <w:rPr>
          <w:rFonts w:hint="eastAsia" w:ascii="仿宋" w:hAnsi="仿宋" w:eastAsia="仿宋"/>
          <w:b/>
          <w:bCs/>
          <w:sz w:val="30"/>
        </w:rPr>
        <w:t>项目所在单位：</w:t>
      </w:r>
      <w:r>
        <w:rPr>
          <w:rFonts w:hint="eastAsia" w:ascii="仿宋" w:hAnsi="仿宋" w:eastAsia="仿宋"/>
          <w:b/>
          <w:bCs/>
          <w:sz w:val="30"/>
          <w:u w:val="single"/>
        </w:rPr>
        <w:t xml:space="preserve">     </w:t>
      </w:r>
      <w:r>
        <w:rPr>
          <w:rFonts w:hint="eastAsia" w:ascii="仿宋" w:hAnsi="仿宋" w:eastAsia="仿宋"/>
          <w:b/>
          <w:bCs/>
          <w:sz w:val="30"/>
          <w:u w:val="single"/>
          <w:lang w:val="en-US" w:eastAsia="zh-CN"/>
        </w:rPr>
        <w:t xml:space="preserve">  统计学院</w:t>
      </w:r>
      <w:r>
        <w:rPr>
          <w:rFonts w:hint="eastAsia" w:ascii="仿宋" w:hAnsi="仿宋" w:eastAsia="仿宋"/>
          <w:b/>
          <w:bCs/>
          <w:sz w:val="30"/>
          <w:u w:val="single"/>
        </w:rPr>
        <w:t xml:space="preserve">           </w:t>
      </w:r>
    </w:p>
    <w:p w14:paraId="654E0136">
      <w:pPr>
        <w:spacing w:before="312" w:beforeLines="100" w:after="312" w:afterLines="100"/>
        <w:ind w:firstLine="1205" w:firstLineChars="400"/>
        <w:jc w:val="left"/>
        <w:rPr>
          <w:rFonts w:hint="default" w:ascii="仿宋" w:hAnsi="仿宋" w:eastAsia="仿宋"/>
          <w:b/>
          <w:bCs/>
          <w:sz w:val="30"/>
          <w:u w:val="single"/>
          <w:lang w:val="en-US" w:eastAsia="zh-CN"/>
        </w:rPr>
      </w:pPr>
      <w:r>
        <w:rPr>
          <w:rFonts w:hint="eastAsia" w:ascii="仿宋" w:hAnsi="仿宋" w:eastAsia="仿宋"/>
          <w:b/>
          <w:bCs/>
          <w:sz w:val="30"/>
        </w:rPr>
        <w:t>项目指导教师：</w:t>
      </w:r>
      <w:r>
        <w:rPr>
          <w:rFonts w:hint="eastAsia" w:ascii="仿宋" w:hAnsi="仿宋" w:eastAsia="仿宋"/>
          <w:b/>
          <w:bCs/>
          <w:sz w:val="30"/>
          <w:u w:val="single"/>
        </w:rPr>
        <w:t xml:space="preserve"> </w:t>
      </w:r>
      <w:r>
        <w:rPr>
          <w:rFonts w:hint="eastAsia" w:ascii="仿宋" w:hAnsi="仿宋" w:eastAsia="仿宋"/>
          <w:b/>
          <w:bCs/>
          <w:sz w:val="30"/>
          <w:u w:val="single"/>
          <w:lang w:val="en-US" w:eastAsia="zh-CN"/>
        </w:rPr>
        <w:t xml:space="preserve">   </w:t>
      </w:r>
      <w:r>
        <w:rPr>
          <w:rFonts w:hint="eastAsia" w:ascii="仿宋" w:hAnsi="仿宋" w:eastAsia="仿宋"/>
          <w:b/>
          <w:bCs/>
          <w:sz w:val="30"/>
          <w:u w:val="single"/>
        </w:rPr>
        <w:t xml:space="preserve"> </w:t>
      </w:r>
      <w:r>
        <w:rPr>
          <w:rFonts w:hint="eastAsia" w:ascii="仿宋" w:hAnsi="仿宋" w:eastAsia="仿宋"/>
          <w:b/>
          <w:bCs/>
          <w:sz w:val="30"/>
          <w:u w:val="single"/>
          <w:lang w:val="en-US" w:eastAsia="zh-CN"/>
        </w:rPr>
        <w:t>路锦非、陈力闻</w:t>
      </w:r>
      <w:r>
        <w:rPr>
          <w:rFonts w:hint="eastAsia" w:ascii="仿宋" w:hAnsi="仿宋" w:eastAsia="仿宋"/>
          <w:b/>
          <w:bCs/>
          <w:sz w:val="30"/>
          <w:u w:val="single"/>
        </w:rPr>
        <w:t xml:space="preserve"> </w:t>
      </w:r>
      <w:r>
        <w:rPr>
          <w:rFonts w:hint="eastAsia" w:ascii="仿宋" w:hAnsi="仿宋" w:eastAsia="仿宋"/>
          <w:b/>
          <w:bCs/>
          <w:sz w:val="30"/>
          <w:u w:val="single"/>
          <w:lang w:val="en-US" w:eastAsia="zh-CN"/>
        </w:rPr>
        <w:t xml:space="preserve">      </w:t>
      </w:r>
    </w:p>
    <w:p w14:paraId="2593FAA0">
      <w:pPr>
        <w:rPr>
          <w:rFonts w:ascii="仿宋" w:hAnsi="仿宋" w:eastAsia="仿宋"/>
        </w:rPr>
      </w:pPr>
    </w:p>
    <w:p w14:paraId="128D0315">
      <w:pPr>
        <w:rPr>
          <w:rFonts w:ascii="仿宋" w:hAnsi="仿宋" w:eastAsia="仿宋"/>
        </w:rPr>
      </w:pPr>
    </w:p>
    <w:p w14:paraId="531407DB">
      <w:pPr>
        <w:rPr>
          <w:rFonts w:ascii="仿宋" w:hAnsi="仿宋" w:eastAsia="仿宋"/>
        </w:rPr>
      </w:pPr>
    </w:p>
    <w:p w14:paraId="7D674AD4">
      <w:pPr>
        <w:rPr>
          <w:rFonts w:ascii="仿宋" w:hAnsi="仿宋" w:eastAsia="仿宋"/>
        </w:rPr>
      </w:pPr>
    </w:p>
    <w:p w14:paraId="59D1BBC2">
      <w:pPr>
        <w:ind w:firstLine="2711" w:firstLineChars="900"/>
        <w:rPr>
          <w:rFonts w:ascii="仿宋" w:hAnsi="仿宋" w:eastAsia="仿宋"/>
          <w:b/>
          <w:bCs/>
          <w:sz w:val="30"/>
        </w:rPr>
      </w:pPr>
      <w:r>
        <w:rPr>
          <w:rFonts w:hint="eastAsia" w:ascii="仿宋" w:hAnsi="仿宋" w:eastAsia="仿宋"/>
          <w:b/>
          <w:bCs/>
          <w:sz w:val="30"/>
          <w:szCs w:val="30"/>
        </w:rPr>
        <w:t>立项申请时间：</w:t>
      </w:r>
      <w:r>
        <w:rPr>
          <w:rFonts w:hint="eastAsia" w:ascii="仿宋" w:hAnsi="仿宋" w:eastAsia="仿宋"/>
          <w:b/>
          <w:bCs/>
          <w:sz w:val="30"/>
          <w:szCs w:val="30"/>
          <w:lang w:val="en-US" w:eastAsia="zh-CN"/>
        </w:rPr>
        <w:t>2026</w:t>
      </w:r>
      <w:r>
        <w:rPr>
          <w:rFonts w:hint="eastAsia" w:ascii="仿宋" w:hAnsi="仿宋" w:eastAsia="仿宋"/>
          <w:b/>
          <w:bCs/>
          <w:sz w:val="30"/>
          <w:szCs w:val="30"/>
        </w:rPr>
        <w:t>年</w:t>
      </w:r>
      <w:r>
        <w:rPr>
          <w:rFonts w:hint="eastAsia" w:ascii="仿宋" w:hAnsi="仿宋" w:eastAsia="仿宋"/>
          <w:b/>
          <w:bCs/>
          <w:sz w:val="30"/>
          <w:szCs w:val="30"/>
          <w:lang w:val="en-US" w:eastAsia="zh-CN"/>
        </w:rPr>
        <w:t>4</w:t>
      </w:r>
      <w:r>
        <w:rPr>
          <w:rFonts w:hint="eastAsia" w:ascii="仿宋" w:hAnsi="仿宋" w:eastAsia="仿宋"/>
          <w:b/>
          <w:bCs/>
          <w:sz w:val="30"/>
          <w:szCs w:val="30"/>
        </w:rPr>
        <w:t>月</w:t>
      </w:r>
      <w:r>
        <w:rPr>
          <w:rFonts w:hint="eastAsia" w:ascii="仿宋" w:hAnsi="仿宋" w:eastAsia="仿宋"/>
          <w:b/>
          <w:bCs/>
          <w:sz w:val="30"/>
          <w:szCs w:val="30"/>
          <w:lang w:val="en-US" w:eastAsia="zh-CN"/>
        </w:rPr>
        <w:t>30</w:t>
      </w:r>
      <w:r>
        <w:rPr>
          <w:rFonts w:hint="eastAsia" w:ascii="仿宋" w:hAnsi="仿宋" w:eastAsia="仿宋"/>
          <w:b/>
          <w:bCs/>
          <w:sz w:val="30"/>
          <w:szCs w:val="30"/>
        </w:rPr>
        <w:t>日</w:t>
      </w:r>
    </w:p>
    <w:p w14:paraId="32AF30B7">
      <w:pPr>
        <w:rPr>
          <w:rFonts w:ascii="仿宋" w:hAnsi="仿宋" w:eastAsia="仿宋"/>
        </w:rPr>
      </w:pPr>
    </w:p>
    <w:p w14:paraId="326E316A">
      <w:pPr>
        <w:rPr>
          <w:rFonts w:ascii="仿宋" w:hAnsi="仿宋" w:eastAsia="仿宋"/>
        </w:rPr>
      </w:pPr>
    </w:p>
    <w:p w14:paraId="4656E34B">
      <w:pPr>
        <w:rPr>
          <w:rFonts w:ascii="仿宋" w:hAnsi="仿宋" w:eastAsia="仿宋"/>
        </w:rPr>
      </w:pPr>
    </w:p>
    <w:p w14:paraId="40B3CE90">
      <w:pPr>
        <w:rPr>
          <w:rFonts w:ascii="仿宋" w:hAnsi="仿宋" w:eastAsia="仿宋"/>
        </w:rPr>
      </w:pPr>
    </w:p>
    <w:p w14:paraId="486A815A">
      <w:pPr>
        <w:rPr>
          <w:rFonts w:ascii="仿宋" w:hAnsi="仿宋" w:eastAsia="仿宋"/>
        </w:rPr>
      </w:pPr>
    </w:p>
    <w:p w14:paraId="54478D20">
      <w:pPr>
        <w:ind w:right="562"/>
        <w:jc w:val="right"/>
        <w:rPr>
          <w:rFonts w:ascii="仿宋" w:hAnsi="仿宋" w:eastAsia="仿宋"/>
          <w:b/>
          <w:bCs/>
          <w:sz w:val="28"/>
          <w:szCs w:val="21"/>
        </w:rPr>
      </w:pPr>
      <w:r>
        <w:rPr>
          <w:rFonts w:hint="eastAsia" w:ascii="仿宋" w:hAnsi="仿宋" w:eastAsia="仿宋"/>
          <w:b/>
          <w:bCs/>
          <w:sz w:val="28"/>
          <w:szCs w:val="21"/>
        </w:rPr>
        <w:t>华东师范大学</w:t>
      </w:r>
      <w:r>
        <w:rPr>
          <w:rFonts w:hint="eastAsia" w:ascii="仿宋" w:hAnsi="仿宋" w:eastAsia="仿宋"/>
          <w:b/>
          <w:bCs/>
          <w:sz w:val="28"/>
          <w:szCs w:val="21"/>
          <w:lang w:val="en-US" w:eastAsia="zh-CN"/>
        </w:rPr>
        <w:t>本科生院</w:t>
      </w:r>
      <w:r>
        <w:rPr>
          <w:rFonts w:hint="eastAsia" w:ascii="仿宋" w:hAnsi="仿宋" w:eastAsia="仿宋"/>
          <w:b/>
          <w:bCs/>
          <w:sz w:val="28"/>
          <w:szCs w:val="21"/>
        </w:rPr>
        <w:t>编制</w:t>
      </w:r>
    </w:p>
    <w:p w14:paraId="39B0F22D">
      <w:pPr>
        <w:rPr>
          <w:rFonts w:ascii="仿宋" w:hAnsi="仿宋" w:eastAsia="仿宋"/>
        </w:rPr>
      </w:pPr>
    </w:p>
    <w:p w14:paraId="4404F131">
      <w:pPr>
        <w:rPr>
          <w:rFonts w:hint="eastAsia" w:eastAsia="黑体"/>
          <w:b/>
          <w:bCs/>
          <w:sz w:val="28"/>
        </w:rPr>
      </w:pPr>
      <w:r>
        <w:rPr>
          <w:rFonts w:hint="eastAsia" w:eastAsia="黑体"/>
          <w:b/>
          <w:bCs/>
          <w:sz w:val="28"/>
        </w:rPr>
        <w:t>一、基本情况</w:t>
      </w:r>
    </w:p>
    <w:tbl>
      <w:tblPr>
        <w:tblStyle w:val="8"/>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276"/>
        <w:gridCol w:w="2268"/>
        <w:gridCol w:w="1843"/>
        <w:gridCol w:w="2551"/>
      </w:tblGrid>
      <w:tr w14:paraId="5AB1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trPr>
        <w:tc>
          <w:tcPr>
            <w:tcW w:w="1696" w:type="dxa"/>
            <w:vAlign w:val="center"/>
          </w:tcPr>
          <w:p w14:paraId="055CD432">
            <w:pPr>
              <w:rPr>
                <w:rFonts w:ascii="仿宋" w:hAnsi="仿宋" w:eastAsia="仿宋"/>
                <w:sz w:val="24"/>
                <w:szCs w:val="24"/>
              </w:rPr>
            </w:pPr>
            <w:r>
              <w:rPr>
                <w:rFonts w:hint="eastAsia" w:ascii="仿宋" w:hAnsi="仿宋" w:eastAsia="仿宋"/>
                <w:sz w:val="24"/>
                <w:szCs w:val="24"/>
              </w:rPr>
              <w:t>项目起止时间</w:t>
            </w:r>
          </w:p>
        </w:tc>
        <w:tc>
          <w:tcPr>
            <w:tcW w:w="7938" w:type="dxa"/>
            <w:gridSpan w:val="4"/>
            <w:vAlign w:val="center"/>
          </w:tcPr>
          <w:p w14:paraId="55453291">
            <w:pPr>
              <w:rPr>
                <w:rFonts w:ascii="仿宋" w:hAnsi="仿宋" w:eastAsia="仿宋"/>
                <w:sz w:val="24"/>
                <w:szCs w:val="24"/>
              </w:rPr>
            </w:pPr>
            <w:r>
              <w:rPr>
                <w:rFonts w:hint="eastAsia" w:ascii="仿宋" w:hAnsi="仿宋" w:eastAsia="仿宋"/>
                <w:sz w:val="24"/>
                <w:szCs w:val="24"/>
                <w:lang w:eastAsia="zh"/>
                <w:woUserID w:val="1"/>
              </w:rPr>
              <w:t>202</w:t>
            </w:r>
            <w:r>
              <w:rPr>
                <w:rFonts w:hint="eastAsia" w:ascii="仿宋" w:hAnsi="仿宋" w:eastAsia="仿宋"/>
                <w:sz w:val="24"/>
                <w:szCs w:val="24"/>
                <w:lang w:val="en-US" w:eastAsia="zh-CN"/>
                <w:woUserID w:val="1"/>
              </w:rPr>
              <w:t>6</w:t>
            </w:r>
            <w:r>
              <w:rPr>
                <w:rFonts w:hint="eastAsia" w:ascii="仿宋" w:hAnsi="仿宋" w:eastAsia="仿宋"/>
                <w:sz w:val="24"/>
                <w:szCs w:val="24"/>
                <w:lang w:eastAsia="zh"/>
                <w:woUserID w:val="1"/>
              </w:rPr>
              <w:t>.</w:t>
            </w:r>
            <w:r>
              <w:rPr>
                <w:rFonts w:hint="eastAsia" w:ascii="仿宋" w:hAnsi="仿宋" w:eastAsia="仿宋"/>
                <w:sz w:val="24"/>
                <w:szCs w:val="24"/>
                <w:lang w:val="en-US" w:eastAsia="zh-CN"/>
                <w:woUserID w:val="1"/>
              </w:rPr>
              <w:t>5</w:t>
            </w:r>
            <w:r>
              <w:rPr>
                <w:rFonts w:hint="eastAsia" w:ascii="仿宋" w:hAnsi="仿宋" w:eastAsia="仿宋"/>
                <w:sz w:val="24"/>
                <w:szCs w:val="24"/>
                <w:lang w:eastAsia="zh"/>
                <w:woUserID w:val="1"/>
              </w:rPr>
              <w:t>-202</w:t>
            </w:r>
            <w:r>
              <w:rPr>
                <w:rFonts w:hint="eastAsia" w:ascii="仿宋" w:hAnsi="仿宋" w:eastAsia="仿宋"/>
                <w:sz w:val="24"/>
                <w:szCs w:val="24"/>
                <w:lang w:val="en-US" w:eastAsia="zh-CN"/>
                <w:woUserID w:val="1"/>
              </w:rPr>
              <w:t>7</w:t>
            </w:r>
            <w:r>
              <w:rPr>
                <w:rFonts w:hint="eastAsia" w:ascii="仿宋" w:hAnsi="仿宋" w:eastAsia="仿宋"/>
                <w:sz w:val="24"/>
                <w:szCs w:val="24"/>
                <w:lang w:eastAsia="zh"/>
                <w:woUserID w:val="1"/>
              </w:rPr>
              <w:t>.</w:t>
            </w:r>
            <w:r>
              <w:rPr>
                <w:rFonts w:hint="eastAsia" w:ascii="仿宋" w:hAnsi="仿宋" w:eastAsia="仿宋"/>
                <w:sz w:val="24"/>
                <w:szCs w:val="24"/>
                <w:lang w:val="en-US" w:eastAsia="zh-CN"/>
                <w:woUserID w:val="1"/>
              </w:rPr>
              <w:t>5</w:t>
            </w:r>
          </w:p>
        </w:tc>
      </w:tr>
      <w:tr w14:paraId="6D279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7" w:hRule="atLeast"/>
        </w:trPr>
        <w:tc>
          <w:tcPr>
            <w:tcW w:w="1696" w:type="dxa"/>
            <w:vMerge w:val="restart"/>
            <w:vAlign w:val="center"/>
          </w:tcPr>
          <w:p w14:paraId="71DAC91F">
            <w:pPr>
              <w:spacing w:line="360" w:lineRule="auto"/>
              <w:jc w:val="center"/>
              <w:rPr>
                <w:rFonts w:ascii="仿宋" w:hAnsi="仿宋" w:eastAsia="仿宋"/>
                <w:sz w:val="24"/>
                <w:szCs w:val="24"/>
              </w:rPr>
            </w:pPr>
            <w:r>
              <w:rPr>
                <w:rFonts w:hint="eastAsia" w:ascii="仿宋" w:hAnsi="仿宋" w:eastAsia="仿宋"/>
                <w:sz w:val="24"/>
                <w:szCs w:val="24"/>
              </w:rPr>
              <w:t>项目负责人</w:t>
            </w:r>
          </w:p>
        </w:tc>
        <w:tc>
          <w:tcPr>
            <w:tcW w:w="1276" w:type="dxa"/>
            <w:vAlign w:val="center"/>
          </w:tcPr>
          <w:p w14:paraId="3FD353AE">
            <w:pPr>
              <w:widowControl w:val="0"/>
              <w:ind w:firstLine="0" w:firstLineChars="0"/>
              <w:jc w:val="left"/>
              <w:rPr>
                <w:rFonts w:ascii="仿宋" w:hAnsi="仿宋" w:eastAsia="仿宋"/>
                <w:sz w:val="24"/>
                <w:szCs w:val="24"/>
              </w:rPr>
            </w:pPr>
            <w:r>
              <w:rPr>
                <w:rFonts w:hint="eastAsia" w:ascii="仿宋" w:hAnsi="仿宋" w:eastAsia="仿宋"/>
                <w:sz w:val="24"/>
                <w:szCs w:val="24"/>
              </w:rPr>
              <w:t>姓 名</w:t>
            </w:r>
          </w:p>
        </w:tc>
        <w:tc>
          <w:tcPr>
            <w:tcW w:w="2268" w:type="dxa"/>
            <w:vAlign w:val="center"/>
          </w:tcPr>
          <w:p w14:paraId="293E1E77">
            <w:pPr>
              <w:widowControl w:val="0"/>
              <w:ind w:firstLine="0" w:firstLineChars="0"/>
              <w:jc w:val="left"/>
              <w:rPr>
                <w:rFonts w:ascii="仿宋" w:hAnsi="仿宋" w:eastAsia="仿宋"/>
                <w:sz w:val="24"/>
                <w:szCs w:val="24"/>
              </w:rPr>
            </w:pPr>
            <w:r>
              <w:rPr>
                <w:rFonts w:hint="eastAsia" w:ascii="仿宋" w:hAnsi="仿宋" w:eastAsia="仿宋"/>
                <w:sz w:val="24"/>
                <w:szCs w:val="24"/>
                <w:lang w:val="en-US" w:eastAsia="zh-CN"/>
              </w:rPr>
              <w:t>沈妍</w:t>
            </w:r>
          </w:p>
        </w:tc>
        <w:tc>
          <w:tcPr>
            <w:tcW w:w="1843" w:type="dxa"/>
            <w:vAlign w:val="center"/>
          </w:tcPr>
          <w:p w14:paraId="4F23966B">
            <w:pPr>
              <w:widowControl w:val="0"/>
              <w:ind w:firstLine="0" w:firstLineChars="0"/>
              <w:jc w:val="left"/>
              <w:rPr>
                <w:rFonts w:ascii="仿宋" w:hAnsi="仿宋" w:eastAsia="仿宋"/>
                <w:sz w:val="24"/>
                <w:szCs w:val="24"/>
              </w:rPr>
            </w:pPr>
            <w:r>
              <w:rPr>
                <w:rFonts w:hint="eastAsia" w:ascii="仿宋" w:hAnsi="仿宋" w:eastAsia="仿宋"/>
                <w:sz w:val="24"/>
                <w:szCs w:val="24"/>
              </w:rPr>
              <w:t>学 号</w:t>
            </w:r>
          </w:p>
        </w:tc>
        <w:tc>
          <w:tcPr>
            <w:tcW w:w="2551" w:type="dxa"/>
            <w:vAlign w:val="center"/>
          </w:tcPr>
          <w:p w14:paraId="71628F7D">
            <w:pPr>
              <w:widowControl w:val="0"/>
              <w:ind w:firstLine="0" w:firstLineChars="0"/>
              <w:jc w:val="left"/>
              <w:rPr>
                <w:rFonts w:ascii="仿宋" w:hAnsi="仿宋" w:eastAsia="仿宋"/>
                <w:sz w:val="24"/>
                <w:szCs w:val="24"/>
              </w:rPr>
            </w:pPr>
            <w:r>
              <w:rPr>
                <w:rFonts w:hint="eastAsia" w:ascii="仿宋" w:hAnsi="仿宋" w:eastAsia="仿宋"/>
                <w:sz w:val="24"/>
                <w:szCs w:val="24"/>
                <w:lang w:eastAsia="zh"/>
                <w:woUserID w:val="1"/>
              </w:rPr>
              <w:t>10234800429</w:t>
            </w:r>
          </w:p>
        </w:tc>
      </w:tr>
      <w:tr w14:paraId="0C70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9EE9C35">
            <w:pPr>
              <w:spacing w:line="360" w:lineRule="auto"/>
              <w:jc w:val="center"/>
              <w:rPr>
                <w:rFonts w:ascii="仿宋" w:hAnsi="仿宋" w:eastAsia="仿宋"/>
                <w:sz w:val="24"/>
                <w:szCs w:val="24"/>
              </w:rPr>
            </w:pPr>
          </w:p>
        </w:tc>
        <w:tc>
          <w:tcPr>
            <w:tcW w:w="1276" w:type="dxa"/>
            <w:vAlign w:val="center"/>
          </w:tcPr>
          <w:p w14:paraId="21EB5C7F">
            <w:pPr>
              <w:widowControl w:val="0"/>
              <w:ind w:left="0" w:leftChars="0" w:right="-108" w:rightChars="0" w:firstLine="0" w:firstLineChars="0"/>
              <w:jc w:val="left"/>
              <w:rPr>
                <w:rFonts w:ascii="仿宋" w:hAnsi="仿宋" w:eastAsia="仿宋"/>
                <w:sz w:val="24"/>
                <w:szCs w:val="24"/>
              </w:rPr>
            </w:pPr>
            <w:r>
              <w:rPr>
                <w:rFonts w:hint="eastAsia" w:ascii="仿宋" w:hAnsi="仿宋" w:eastAsia="仿宋"/>
                <w:sz w:val="24"/>
                <w:szCs w:val="24"/>
              </w:rPr>
              <w:t>性 别</w:t>
            </w:r>
          </w:p>
        </w:tc>
        <w:tc>
          <w:tcPr>
            <w:tcW w:w="2268" w:type="dxa"/>
            <w:vAlign w:val="center"/>
          </w:tcPr>
          <w:p w14:paraId="5D48334D">
            <w:pPr>
              <w:widowControl w:val="0"/>
              <w:ind w:firstLine="0" w:firstLineChars="0"/>
              <w:jc w:val="left"/>
              <w:rPr>
                <w:rFonts w:ascii="仿宋" w:hAnsi="仿宋" w:eastAsia="仿宋"/>
                <w:sz w:val="24"/>
                <w:szCs w:val="24"/>
              </w:rPr>
            </w:pPr>
            <w:r>
              <w:rPr>
                <w:rFonts w:hint="eastAsia" w:ascii="仿宋" w:hAnsi="仿宋" w:eastAsia="仿宋"/>
                <w:sz w:val="24"/>
                <w:szCs w:val="24"/>
                <w:lang w:eastAsia="zh"/>
                <w:woUserID w:val="1"/>
              </w:rPr>
              <w:t>女</w:t>
            </w:r>
          </w:p>
        </w:tc>
        <w:tc>
          <w:tcPr>
            <w:tcW w:w="1843" w:type="dxa"/>
            <w:vAlign w:val="center"/>
          </w:tcPr>
          <w:p w14:paraId="35E4EF88">
            <w:pPr>
              <w:widowControl w:val="0"/>
              <w:ind w:firstLine="0" w:firstLineChars="0"/>
              <w:jc w:val="left"/>
              <w:rPr>
                <w:rFonts w:ascii="仿宋" w:hAnsi="仿宋" w:eastAsia="仿宋"/>
                <w:sz w:val="24"/>
                <w:szCs w:val="24"/>
              </w:rPr>
            </w:pPr>
            <w:r>
              <w:rPr>
                <w:rFonts w:hint="eastAsia" w:ascii="仿宋" w:hAnsi="仿宋" w:eastAsia="仿宋"/>
                <w:sz w:val="24"/>
                <w:szCs w:val="24"/>
              </w:rPr>
              <w:t>年 级</w:t>
            </w:r>
          </w:p>
        </w:tc>
        <w:tc>
          <w:tcPr>
            <w:tcW w:w="2551" w:type="dxa"/>
            <w:vAlign w:val="center"/>
          </w:tcPr>
          <w:p w14:paraId="2AC61717">
            <w:pPr>
              <w:widowControl w:val="0"/>
              <w:ind w:left="0" w:leftChars="0" w:firstLine="0" w:firstLineChars="0"/>
              <w:jc w:val="left"/>
              <w:rPr>
                <w:rFonts w:ascii="仿宋" w:hAnsi="仿宋" w:eastAsia="仿宋"/>
                <w:sz w:val="24"/>
                <w:szCs w:val="24"/>
              </w:rPr>
            </w:pPr>
            <w:r>
              <w:rPr>
                <w:rFonts w:hint="eastAsia" w:ascii="仿宋" w:hAnsi="仿宋" w:eastAsia="仿宋"/>
                <w:sz w:val="24"/>
                <w:szCs w:val="24"/>
                <w:lang w:eastAsia="zh"/>
                <w:woUserID w:val="1"/>
              </w:rPr>
              <w:t>24级</w:t>
            </w:r>
          </w:p>
        </w:tc>
      </w:tr>
      <w:tr w14:paraId="4A4E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54500E70">
            <w:pPr>
              <w:jc w:val="center"/>
              <w:rPr>
                <w:rFonts w:ascii="仿宋" w:hAnsi="仿宋" w:eastAsia="仿宋"/>
                <w:sz w:val="24"/>
                <w:szCs w:val="24"/>
              </w:rPr>
            </w:pPr>
          </w:p>
        </w:tc>
        <w:tc>
          <w:tcPr>
            <w:tcW w:w="1276" w:type="dxa"/>
            <w:vAlign w:val="center"/>
          </w:tcPr>
          <w:p w14:paraId="1E46B2C2">
            <w:pPr>
              <w:widowControl w:val="0"/>
              <w:ind w:firstLine="0" w:firstLineChars="0"/>
              <w:jc w:val="left"/>
              <w:rPr>
                <w:rFonts w:ascii="仿宋" w:hAnsi="仿宋" w:eastAsia="仿宋"/>
                <w:sz w:val="24"/>
                <w:szCs w:val="24"/>
              </w:rPr>
            </w:pPr>
            <w:r>
              <w:rPr>
                <w:rFonts w:hint="eastAsia" w:ascii="仿宋" w:hAnsi="仿宋" w:eastAsia="仿宋"/>
                <w:sz w:val="24"/>
                <w:szCs w:val="24"/>
              </w:rPr>
              <w:t>院 系</w:t>
            </w:r>
          </w:p>
        </w:tc>
        <w:tc>
          <w:tcPr>
            <w:tcW w:w="2268" w:type="dxa"/>
            <w:vAlign w:val="center"/>
          </w:tcPr>
          <w:p w14:paraId="19448EAD">
            <w:pPr>
              <w:widowControl w:val="0"/>
              <w:ind w:firstLine="0" w:firstLineChars="0"/>
              <w:jc w:val="left"/>
              <w:rPr>
                <w:rFonts w:ascii="仿宋" w:hAnsi="仿宋" w:eastAsia="仿宋"/>
                <w:sz w:val="24"/>
                <w:szCs w:val="24"/>
              </w:rPr>
            </w:pPr>
            <w:r>
              <w:rPr>
                <w:rFonts w:hint="eastAsia" w:ascii="仿宋" w:hAnsi="仿宋" w:eastAsia="仿宋"/>
                <w:sz w:val="24"/>
                <w:szCs w:val="24"/>
                <w:lang w:eastAsia="zh"/>
                <w:woUserID w:val="1"/>
              </w:rPr>
              <w:t>统计学院</w:t>
            </w:r>
          </w:p>
        </w:tc>
        <w:tc>
          <w:tcPr>
            <w:tcW w:w="1843" w:type="dxa"/>
            <w:vAlign w:val="center"/>
          </w:tcPr>
          <w:p w14:paraId="76224049">
            <w:pPr>
              <w:widowControl w:val="0"/>
              <w:ind w:firstLine="0" w:firstLineChars="0"/>
              <w:jc w:val="left"/>
              <w:rPr>
                <w:rFonts w:ascii="仿宋" w:hAnsi="仿宋" w:eastAsia="仿宋"/>
                <w:sz w:val="24"/>
                <w:szCs w:val="24"/>
              </w:rPr>
            </w:pPr>
            <w:r>
              <w:rPr>
                <w:rFonts w:hint="eastAsia" w:ascii="仿宋" w:hAnsi="仿宋" w:eastAsia="仿宋"/>
                <w:sz w:val="24"/>
                <w:szCs w:val="24"/>
              </w:rPr>
              <w:t>专 业</w:t>
            </w:r>
          </w:p>
        </w:tc>
        <w:tc>
          <w:tcPr>
            <w:tcW w:w="2551" w:type="dxa"/>
            <w:vAlign w:val="center"/>
          </w:tcPr>
          <w:p w14:paraId="1B092EA0">
            <w:pPr>
              <w:widowControl w:val="0"/>
              <w:ind w:firstLine="0" w:firstLineChars="0"/>
              <w:jc w:val="left"/>
              <w:rPr>
                <w:rFonts w:ascii="仿宋" w:hAnsi="仿宋" w:eastAsia="仿宋"/>
                <w:sz w:val="24"/>
                <w:szCs w:val="24"/>
              </w:rPr>
            </w:pPr>
            <w:r>
              <w:rPr>
                <w:rFonts w:hint="eastAsia" w:ascii="仿宋" w:hAnsi="仿宋" w:eastAsia="仿宋"/>
                <w:sz w:val="24"/>
                <w:szCs w:val="24"/>
                <w:lang w:eastAsia="zh"/>
                <w:woUserID w:val="1"/>
              </w:rPr>
              <w:t>统计学</w:t>
            </w:r>
          </w:p>
        </w:tc>
      </w:tr>
      <w:tr w14:paraId="2A9AF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405AAE0F">
            <w:pPr>
              <w:jc w:val="center"/>
              <w:rPr>
                <w:rFonts w:ascii="仿宋" w:hAnsi="仿宋" w:eastAsia="仿宋"/>
                <w:sz w:val="24"/>
                <w:szCs w:val="24"/>
              </w:rPr>
            </w:pPr>
          </w:p>
        </w:tc>
        <w:tc>
          <w:tcPr>
            <w:tcW w:w="1276" w:type="dxa"/>
            <w:vAlign w:val="center"/>
          </w:tcPr>
          <w:p w14:paraId="71D45B6D">
            <w:pPr>
              <w:widowControl w:val="0"/>
              <w:ind w:firstLine="0" w:firstLineChars="0"/>
              <w:jc w:val="left"/>
              <w:rPr>
                <w:rFonts w:ascii="仿宋" w:hAnsi="仿宋" w:eastAsia="仿宋"/>
                <w:sz w:val="24"/>
                <w:szCs w:val="24"/>
              </w:rPr>
            </w:pPr>
            <w:r>
              <w:rPr>
                <w:rFonts w:hint="eastAsia" w:ascii="仿宋" w:hAnsi="仿宋" w:eastAsia="仿宋"/>
                <w:sz w:val="24"/>
                <w:szCs w:val="24"/>
              </w:rPr>
              <w:t>手 机</w:t>
            </w:r>
          </w:p>
        </w:tc>
        <w:tc>
          <w:tcPr>
            <w:tcW w:w="2268" w:type="dxa"/>
            <w:vAlign w:val="center"/>
          </w:tcPr>
          <w:p w14:paraId="7AC4469A">
            <w:pPr>
              <w:widowControl w:val="0"/>
              <w:ind w:firstLine="0" w:firstLineChars="0"/>
              <w:jc w:val="left"/>
              <w:rPr>
                <w:rFonts w:ascii="仿宋" w:hAnsi="仿宋" w:eastAsia="仿宋"/>
                <w:sz w:val="24"/>
                <w:szCs w:val="24"/>
              </w:rPr>
            </w:pPr>
            <w:r>
              <w:rPr>
                <w:rFonts w:hint="eastAsia" w:ascii="仿宋" w:hAnsi="仿宋" w:eastAsia="仿宋"/>
                <w:sz w:val="24"/>
                <w:szCs w:val="24"/>
                <w:lang w:eastAsia="zh"/>
                <w:woUserID w:val="1"/>
              </w:rPr>
              <w:t>18917534871</w:t>
            </w:r>
          </w:p>
        </w:tc>
        <w:tc>
          <w:tcPr>
            <w:tcW w:w="1843" w:type="dxa"/>
            <w:vAlign w:val="center"/>
          </w:tcPr>
          <w:p w14:paraId="56D57243">
            <w:pPr>
              <w:widowControl w:val="0"/>
              <w:ind w:firstLine="0" w:firstLineChars="0"/>
              <w:jc w:val="left"/>
              <w:rPr>
                <w:rFonts w:ascii="仿宋" w:hAnsi="仿宋" w:eastAsia="仿宋"/>
                <w:sz w:val="24"/>
                <w:szCs w:val="24"/>
              </w:rPr>
            </w:pPr>
            <w:r>
              <w:rPr>
                <w:rFonts w:hint="eastAsia" w:ascii="仿宋" w:hAnsi="仿宋" w:eastAsia="仿宋"/>
                <w:sz w:val="24"/>
                <w:szCs w:val="24"/>
              </w:rPr>
              <w:t>E</w:t>
            </w:r>
            <w:r>
              <w:rPr>
                <w:rFonts w:ascii="仿宋" w:hAnsi="仿宋" w:eastAsia="仿宋"/>
                <w:sz w:val="24"/>
                <w:szCs w:val="24"/>
              </w:rPr>
              <w:t>-</w:t>
            </w:r>
            <w:r>
              <w:rPr>
                <w:rFonts w:hint="eastAsia" w:ascii="仿宋" w:hAnsi="仿宋" w:eastAsia="仿宋"/>
                <w:sz w:val="24"/>
                <w:szCs w:val="24"/>
              </w:rPr>
              <w:t xml:space="preserve"> mail</w:t>
            </w:r>
          </w:p>
        </w:tc>
        <w:tc>
          <w:tcPr>
            <w:tcW w:w="2551" w:type="dxa"/>
            <w:vAlign w:val="center"/>
          </w:tcPr>
          <w:p w14:paraId="558D58F8">
            <w:pPr>
              <w:widowControl w:val="0"/>
              <w:ind w:firstLine="0" w:firstLineChars="0"/>
              <w:jc w:val="left"/>
              <w:rPr>
                <w:rFonts w:ascii="仿宋" w:hAnsi="仿宋" w:eastAsia="仿宋"/>
                <w:sz w:val="24"/>
                <w:szCs w:val="24"/>
              </w:rPr>
            </w:pPr>
            <w:r>
              <w:rPr>
                <w:rFonts w:hint="eastAsia" w:ascii="仿宋" w:hAnsi="仿宋" w:eastAsia="仿宋"/>
                <w:sz w:val="24"/>
                <w:szCs w:val="24"/>
                <w:lang w:eastAsia="zh"/>
                <w:woUserID w:val="1"/>
              </w:rPr>
              <w:t>shenyan2308jdfz@qq.com</w:t>
            </w:r>
          </w:p>
        </w:tc>
      </w:tr>
      <w:tr w14:paraId="2779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166C7540">
            <w:pPr>
              <w:ind w:right="71"/>
              <w:jc w:val="center"/>
              <w:rPr>
                <w:rFonts w:ascii="仿宋" w:hAnsi="仿宋" w:eastAsia="仿宋"/>
                <w:sz w:val="24"/>
                <w:szCs w:val="24"/>
              </w:rPr>
            </w:pPr>
          </w:p>
        </w:tc>
        <w:tc>
          <w:tcPr>
            <w:tcW w:w="1276" w:type="dxa"/>
            <w:vMerge w:val="restart"/>
            <w:vAlign w:val="center"/>
          </w:tcPr>
          <w:p w14:paraId="60F89947">
            <w:pPr>
              <w:widowControl w:val="0"/>
              <w:ind w:firstLine="0" w:firstLineChars="0"/>
              <w:jc w:val="center"/>
              <w:rPr>
                <w:rFonts w:ascii="仿宋" w:hAnsi="仿宋" w:eastAsia="仿宋"/>
                <w:sz w:val="24"/>
              </w:rPr>
            </w:pPr>
            <w:r>
              <w:rPr>
                <w:rFonts w:hint="eastAsia" w:ascii="仿宋" w:hAnsi="仿宋" w:eastAsia="仿宋"/>
                <w:sz w:val="24"/>
              </w:rPr>
              <w:t>入</w:t>
            </w:r>
          </w:p>
          <w:p w14:paraId="7C0C3B12">
            <w:pPr>
              <w:widowControl w:val="0"/>
              <w:ind w:firstLine="0" w:firstLineChars="0"/>
              <w:jc w:val="center"/>
              <w:rPr>
                <w:rFonts w:ascii="仿宋" w:hAnsi="仿宋" w:eastAsia="仿宋"/>
                <w:sz w:val="24"/>
              </w:rPr>
            </w:pPr>
            <w:r>
              <w:rPr>
                <w:rFonts w:hint="eastAsia" w:ascii="仿宋" w:hAnsi="仿宋" w:eastAsia="仿宋"/>
                <w:sz w:val="24"/>
              </w:rPr>
              <w:t>校</w:t>
            </w:r>
          </w:p>
          <w:p w14:paraId="71901FAB">
            <w:pPr>
              <w:widowControl w:val="0"/>
              <w:ind w:firstLine="0" w:firstLineChars="0"/>
              <w:jc w:val="center"/>
              <w:rPr>
                <w:rFonts w:ascii="仿宋" w:hAnsi="仿宋" w:eastAsia="仿宋"/>
                <w:sz w:val="24"/>
              </w:rPr>
            </w:pPr>
            <w:r>
              <w:rPr>
                <w:rFonts w:hint="eastAsia" w:ascii="仿宋" w:hAnsi="仿宋" w:eastAsia="仿宋"/>
                <w:sz w:val="24"/>
              </w:rPr>
              <w:t>以</w:t>
            </w:r>
          </w:p>
          <w:p w14:paraId="22804D3E">
            <w:pPr>
              <w:widowControl w:val="0"/>
              <w:ind w:firstLine="0" w:firstLineChars="0"/>
              <w:jc w:val="center"/>
              <w:rPr>
                <w:rFonts w:ascii="仿宋" w:hAnsi="仿宋" w:eastAsia="仿宋"/>
                <w:sz w:val="24"/>
              </w:rPr>
            </w:pPr>
            <w:r>
              <w:rPr>
                <w:rFonts w:hint="eastAsia" w:ascii="仿宋" w:hAnsi="仿宋" w:eastAsia="仿宋"/>
                <w:sz w:val="24"/>
              </w:rPr>
              <w:t>来</w:t>
            </w:r>
          </w:p>
          <w:p w14:paraId="0D27E89E">
            <w:pPr>
              <w:widowControl w:val="0"/>
              <w:ind w:firstLine="0" w:firstLineChars="0"/>
              <w:jc w:val="center"/>
              <w:rPr>
                <w:rFonts w:ascii="仿宋" w:hAnsi="仿宋" w:eastAsia="仿宋"/>
                <w:sz w:val="24"/>
              </w:rPr>
            </w:pPr>
            <w:r>
              <w:rPr>
                <w:rFonts w:hint="eastAsia" w:ascii="仿宋" w:hAnsi="仿宋" w:eastAsia="仿宋"/>
                <w:sz w:val="24"/>
              </w:rPr>
              <w:t>专</w:t>
            </w:r>
          </w:p>
          <w:p w14:paraId="1C171051">
            <w:pPr>
              <w:widowControl w:val="0"/>
              <w:ind w:firstLine="0" w:firstLineChars="0"/>
              <w:jc w:val="center"/>
              <w:rPr>
                <w:rFonts w:ascii="仿宋" w:hAnsi="仿宋" w:eastAsia="仿宋"/>
                <w:sz w:val="24"/>
              </w:rPr>
            </w:pPr>
            <w:r>
              <w:rPr>
                <w:rFonts w:hint="eastAsia" w:ascii="仿宋" w:hAnsi="仿宋" w:eastAsia="仿宋"/>
                <w:sz w:val="24"/>
              </w:rPr>
              <w:t>业</w:t>
            </w:r>
          </w:p>
          <w:p w14:paraId="779C8022">
            <w:pPr>
              <w:widowControl w:val="0"/>
              <w:ind w:firstLine="0" w:firstLineChars="0"/>
              <w:jc w:val="center"/>
              <w:rPr>
                <w:rFonts w:ascii="仿宋" w:hAnsi="仿宋" w:eastAsia="仿宋"/>
                <w:sz w:val="24"/>
              </w:rPr>
            </w:pPr>
            <w:r>
              <w:rPr>
                <w:rFonts w:hint="eastAsia" w:ascii="仿宋" w:hAnsi="仿宋" w:eastAsia="仿宋"/>
                <w:sz w:val="24"/>
              </w:rPr>
              <w:t>必</w:t>
            </w:r>
          </w:p>
          <w:p w14:paraId="60B3DD49">
            <w:pPr>
              <w:widowControl w:val="0"/>
              <w:ind w:firstLine="0" w:firstLineChars="0"/>
              <w:jc w:val="center"/>
              <w:rPr>
                <w:rFonts w:ascii="仿宋" w:hAnsi="仿宋" w:eastAsia="仿宋"/>
                <w:sz w:val="24"/>
              </w:rPr>
            </w:pPr>
            <w:r>
              <w:rPr>
                <w:rFonts w:hint="eastAsia" w:ascii="仿宋" w:hAnsi="仿宋" w:eastAsia="仿宋"/>
                <w:sz w:val="24"/>
              </w:rPr>
              <w:t>修</w:t>
            </w:r>
          </w:p>
          <w:p w14:paraId="37969773">
            <w:pPr>
              <w:widowControl w:val="0"/>
              <w:ind w:firstLine="0" w:firstLineChars="0"/>
              <w:jc w:val="center"/>
              <w:rPr>
                <w:rFonts w:ascii="仿宋" w:hAnsi="仿宋" w:eastAsia="仿宋"/>
                <w:sz w:val="24"/>
              </w:rPr>
            </w:pPr>
            <w:r>
              <w:rPr>
                <w:rFonts w:hint="eastAsia" w:ascii="仿宋" w:hAnsi="仿宋" w:eastAsia="仿宋"/>
                <w:sz w:val="24"/>
              </w:rPr>
              <w:t>课</w:t>
            </w:r>
          </w:p>
          <w:p w14:paraId="2C439761">
            <w:pPr>
              <w:widowControl w:val="0"/>
              <w:ind w:firstLine="0" w:firstLineChars="0"/>
              <w:jc w:val="center"/>
              <w:rPr>
                <w:rFonts w:ascii="仿宋" w:hAnsi="仿宋" w:eastAsia="仿宋"/>
                <w:sz w:val="24"/>
              </w:rPr>
            </w:pPr>
            <w:r>
              <w:rPr>
                <w:rFonts w:hint="eastAsia" w:ascii="仿宋" w:hAnsi="仿宋" w:eastAsia="仿宋"/>
                <w:sz w:val="24"/>
              </w:rPr>
              <w:t>成</w:t>
            </w:r>
          </w:p>
          <w:p w14:paraId="36D3D19F">
            <w:pPr>
              <w:widowControl w:val="0"/>
              <w:ind w:firstLine="0" w:firstLineChars="0"/>
              <w:jc w:val="center"/>
              <w:rPr>
                <w:rFonts w:ascii="仿宋" w:hAnsi="仿宋" w:eastAsia="仿宋"/>
                <w:sz w:val="24"/>
                <w:szCs w:val="24"/>
              </w:rPr>
            </w:pPr>
            <w:r>
              <w:rPr>
                <w:rFonts w:hint="eastAsia" w:ascii="仿宋" w:hAnsi="仿宋" w:eastAsia="仿宋"/>
                <w:sz w:val="24"/>
              </w:rPr>
              <w:t>绩</w:t>
            </w:r>
          </w:p>
        </w:tc>
        <w:tc>
          <w:tcPr>
            <w:tcW w:w="2268" w:type="dxa"/>
            <w:vAlign w:val="center"/>
          </w:tcPr>
          <w:p w14:paraId="3A5EC963">
            <w:pPr>
              <w:widowControl w:val="0"/>
              <w:ind w:firstLine="0" w:firstLineChars="0"/>
              <w:jc w:val="center"/>
              <w:rPr>
                <w:rFonts w:ascii="仿宋" w:hAnsi="仿宋" w:eastAsia="仿宋"/>
                <w:sz w:val="24"/>
                <w:szCs w:val="24"/>
              </w:rPr>
            </w:pPr>
            <w:r>
              <w:rPr>
                <w:rFonts w:hint="eastAsia" w:ascii="仿宋" w:hAnsi="仿宋" w:eastAsia="仿宋"/>
                <w:sz w:val="24"/>
                <w:szCs w:val="24"/>
              </w:rPr>
              <w:t>课程名称</w:t>
            </w:r>
          </w:p>
        </w:tc>
        <w:tc>
          <w:tcPr>
            <w:tcW w:w="1843" w:type="dxa"/>
            <w:vAlign w:val="center"/>
          </w:tcPr>
          <w:p w14:paraId="6160C01E">
            <w:pPr>
              <w:widowControl w:val="0"/>
              <w:ind w:firstLine="0" w:firstLineChars="0"/>
              <w:jc w:val="center"/>
              <w:rPr>
                <w:rFonts w:ascii="仿宋" w:hAnsi="仿宋" w:eastAsia="仿宋"/>
                <w:sz w:val="24"/>
                <w:szCs w:val="24"/>
              </w:rPr>
            </w:pPr>
            <w:r>
              <w:rPr>
                <w:rFonts w:hint="eastAsia" w:ascii="仿宋" w:hAnsi="仿宋" w:eastAsia="仿宋"/>
                <w:sz w:val="24"/>
                <w:szCs w:val="24"/>
              </w:rPr>
              <w:t>学分</w:t>
            </w:r>
          </w:p>
        </w:tc>
        <w:tc>
          <w:tcPr>
            <w:tcW w:w="2551" w:type="dxa"/>
            <w:vAlign w:val="center"/>
          </w:tcPr>
          <w:p w14:paraId="57B720FA">
            <w:pPr>
              <w:widowControl w:val="0"/>
              <w:ind w:firstLine="0" w:firstLineChars="0"/>
              <w:jc w:val="center"/>
              <w:rPr>
                <w:rFonts w:ascii="仿宋" w:hAnsi="仿宋" w:eastAsia="仿宋"/>
                <w:sz w:val="24"/>
                <w:szCs w:val="24"/>
              </w:rPr>
            </w:pPr>
            <w:r>
              <w:rPr>
                <w:rFonts w:hint="eastAsia" w:ascii="仿宋" w:hAnsi="仿宋" w:eastAsia="仿宋"/>
                <w:sz w:val="24"/>
                <w:szCs w:val="24"/>
              </w:rPr>
              <w:t>成绩</w:t>
            </w:r>
          </w:p>
        </w:tc>
      </w:tr>
      <w:tr w14:paraId="70D3D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6A1F023D">
            <w:pPr>
              <w:ind w:right="71"/>
              <w:jc w:val="center"/>
              <w:rPr>
                <w:rFonts w:ascii="仿宋" w:hAnsi="仿宋" w:eastAsia="仿宋"/>
                <w:sz w:val="24"/>
                <w:szCs w:val="24"/>
              </w:rPr>
            </w:pPr>
          </w:p>
        </w:tc>
        <w:tc>
          <w:tcPr>
            <w:tcW w:w="1276" w:type="dxa"/>
            <w:vMerge w:val="continue"/>
            <w:vAlign w:val="center"/>
          </w:tcPr>
          <w:p w14:paraId="2F4DF190">
            <w:pPr>
              <w:widowControl w:val="0"/>
              <w:ind w:firstLine="0" w:firstLineChars="0"/>
              <w:jc w:val="both"/>
              <w:rPr>
                <w:rFonts w:ascii="仿宋" w:hAnsi="仿宋" w:eastAsia="仿宋"/>
                <w:sz w:val="24"/>
                <w:szCs w:val="24"/>
              </w:rPr>
            </w:pPr>
          </w:p>
        </w:tc>
        <w:tc>
          <w:tcPr>
            <w:tcW w:w="2268" w:type="dxa"/>
            <w:vAlign w:val="center"/>
          </w:tcPr>
          <w:p w14:paraId="6F001696">
            <w:pPr>
              <w:widowControl w:val="0"/>
              <w:ind w:firstLine="0" w:firstLineChars="0"/>
              <w:jc w:val="both"/>
              <w:rPr>
                <w:rFonts w:ascii="仿宋" w:hAnsi="仿宋" w:eastAsia="仿宋"/>
                <w:sz w:val="24"/>
                <w:szCs w:val="24"/>
              </w:rPr>
            </w:pPr>
            <w:r>
              <w:rPr>
                <w:rFonts w:hint="eastAsia" w:ascii="仿宋" w:hAnsi="仿宋" w:eastAsia="仿宋" w:cs="仿宋"/>
                <w:i w:val="0"/>
                <w:iCs w:val="0"/>
                <w:caps w:val="0"/>
                <w:spacing w:val="0"/>
                <w:sz w:val="24"/>
                <w:szCs w:val="24"/>
                <w:shd w:val="clear" w:fill="FFFFFF"/>
                <w:lang w:val="en-US" w:eastAsia="zh-CN"/>
                <w:woUserID w:val="1"/>
              </w:rPr>
              <w:t>概率论</w:t>
            </w:r>
          </w:p>
        </w:tc>
        <w:tc>
          <w:tcPr>
            <w:tcW w:w="1843" w:type="dxa"/>
            <w:vAlign w:val="center"/>
          </w:tcPr>
          <w:p w14:paraId="716F67AF">
            <w:pPr>
              <w:widowControl w:val="0"/>
              <w:ind w:firstLine="0" w:firstLineChars="0"/>
              <w:jc w:val="center"/>
              <w:rPr>
                <w:rFonts w:ascii="仿宋" w:hAnsi="仿宋" w:eastAsia="仿宋"/>
                <w:sz w:val="24"/>
                <w:szCs w:val="24"/>
              </w:rPr>
            </w:pPr>
            <w:r>
              <w:rPr>
                <w:rFonts w:hint="default" w:ascii="仿宋" w:hAnsi="仿宋" w:eastAsia="仿宋" w:cs="仿宋"/>
                <w:sz w:val="24"/>
                <w:szCs w:val="24"/>
                <w:woUserID w:val="1"/>
              </w:rPr>
              <w:t>3.0</w:t>
            </w:r>
          </w:p>
        </w:tc>
        <w:tc>
          <w:tcPr>
            <w:tcW w:w="2551" w:type="dxa"/>
            <w:vAlign w:val="center"/>
          </w:tcPr>
          <w:p w14:paraId="59E993B1">
            <w:pPr>
              <w:widowControl w:val="0"/>
              <w:ind w:firstLine="0" w:firstLineChars="0"/>
              <w:jc w:val="center"/>
              <w:rPr>
                <w:rFonts w:ascii="仿宋" w:hAnsi="仿宋" w:eastAsia="仿宋"/>
                <w:sz w:val="24"/>
                <w:szCs w:val="24"/>
              </w:rPr>
            </w:pPr>
            <w:r>
              <w:rPr>
                <w:rFonts w:hint="default" w:ascii="仿宋" w:hAnsi="仿宋" w:eastAsia="仿宋" w:cs="仿宋"/>
                <w:sz w:val="24"/>
                <w:szCs w:val="24"/>
                <w:woUserID w:val="1"/>
              </w:rPr>
              <w:t>9</w:t>
            </w:r>
            <w:r>
              <w:rPr>
                <w:rFonts w:hint="eastAsia" w:ascii="仿宋" w:hAnsi="仿宋" w:eastAsia="仿宋" w:cs="仿宋"/>
                <w:sz w:val="24"/>
                <w:szCs w:val="24"/>
                <w:lang w:val="en-US" w:eastAsia="zh-CN"/>
                <w:woUserID w:val="1"/>
              </w:rPr>
              <w:t>7</w:t>
            </w:r>
          </w:p>
        </w:tc>
      </w:tr>
      <w:tr w14:paraId="44D48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9B368EC">
            <w:pPr>
              <w:ind w:right="71"/>
              <w:jc w:val="center"/>
              <w:rPr>
                <w:rFonts w:ascii="仿宋" w:hAnsi="仿宋" w:eastAsia="仿宋"/>
                <w:sz w:val="24"/>
                <w:szCs w:val="24"/>
              </w:rPr>
            </w:pPr>
          </w:p>
        </w:tc>
        <w:tc>
          <w:tcPr>
            <w:tcW w:w="1276" w:type="dxa"/>
            <w:vMerge w:val="continue"/>
            <w:vAlign w:val="center"/>
          </w:tcPr>
          <w:p w14:paraId="66F6AFEC">
            <w:pPr>
              <w:widowControl w:val="0"/>
              <w:ind w:firstLine="0" w:firstLineChars="0"/>
              <w:jc w:val="both"/>
              <w:rPr>
                <w:rFonts w:ascii="仿宋" w:hAnsi="仿宋" w:eastAsia="仿宋"/>
                <w:sz w:val="24"/>
                <w:szCs w:val="24"/>
              </w:rPr>
            </w:pPr>
          </w:p>
        </w:tc>
        <w:tc>
          <w:tcPr>
            <w:tcW w:w="2268" w:type="dxa"/>
            <w:vAlign w:val="center"/>
          </w:tcPr>
          <w:p w14:paraId="49D225FA">
            <w:pPr>
              <w:widowControl w:val="0"/>
              <w:ind w:firstLine="0" w:firstLineChars="0"/>
              <w:jc w:val="both"/>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 xml:space="preserve">数学分析 </w:t>
            </w:r>
            <w:r>
              <w:rPr>
                <w:rFonts w:hint="eastAsia" w:ascii="仿宋" w:hAnsi="仿宋" w:eastAsia="仿宋" w:cs="仿宋"/>
                <w:i w:val="0"/>
                <w:iCs w:val="0"/>
                <w:caps w:val="0"/>
                <w:spacing w:val="0"/>
                <w:sz w:val="24"/>
                <w:szCs w:val="24"/>
                <w:shd w:val="clear" w:fill="FFFFFF"/>
                <w:lang w:val="en-US" w:eastAsia="zh-CN"/>
                <w:woUserID w:val="1"/>
              </w:rPr>
              <w:t>一</w:t>
            </w:r>
          </w:p>
        </w:tc>
        <w:tc>
          <w:tcPr>
            <w:tcW w:w="1843" w:type="dxa"/>
            <w:vAlign w:val="center"/>
          </w:tcPr>
          <w:p w14:paraId="1E07B9B8">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5.0</w:t>
            </w:r>
          </w:p>
        </w:tc>
        <w:tc>
          <w:tcPr>
            <w:tcW w:w="2551" w:type="dxa"/>
            <w:vAlign w:val="center"/>
          </w:tcPr>
          <w:p w14:paraId="296C8FC7">
            <w:pPr>
              <w:widowControl w:val="0"/>
              <w:ind w:firstLine="0" w:firstLineChars="0"/>
              <w:jc w:val="center"/>
              <w:rPr>
                <w:rFonts w:ascii="仿宋" w:hAnsi="仿宋" w:eastAsia="仿宋"/>
                <w:sz w:val="24"/>
                <w:szCs w:val="24"/>
              </w:rPr>
            </w:pPr>
            <w:r>
              <w:rPr>
                <w:rFonts w:hint="eastAsia" w:ascii="仿宋" w:hAnsi="仿宋" w:eastAsia="仿宋" w:cs="仿宋"/>
                <w:i w:val="0"/>
                <w:iCs w:val="0"/>
                <w:caps w:val="0"/>
                <w:spacing w:val="0"/>
                <w:sz w:val="24"/>
                <w:szCs w:val="24"/>
                <w:shd w:val="clear" w:fill="FFFFFF"/>
                <w:lang w:val="en-US" w:eastAsia="zh-CN"/>
                <w:woUserID w:val="1"/>
              </w:rPr>
              <w:t>79</w:t>
            </w:r>
          </w:p>
        </w:tc>
      </w:tr>
      <w:tr w14:paraId="6BEE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457E42EB">
            <w:pPr>
              <w:ind w:right="71"/>
              <w:jc w:val="center"/>
              <w:rPr>
                <w:rFonts w:ascii="仿宋" w:hAnsi="仿宋" w:eastAsia="仿宋"/>
                <w:sz w:val="24"/>
                <w:szCs w:val="24"/>
              </w:rPr>
            </w:pPr>
          </w:p>
        </w:tc>
        <w:tc>
          <w:tcPr>
            <w:tcW w:w="1276" w:type="dxa"/>
            <w:vMerge w:val="continue"/>
            <w:vAlign w:val="center"/>
          </w:tcPr>
          <w:p w14:paraId="17DA1E18">
            <w:pPr>
              <w:widowControl w:val="0"/>
              <w:ind w:firstLine="0" w:firstLineChars="0"/>
              <w:jc w:val="both"/>
              <w:rPr>
                <w:rFonts w:ascii="仿宋" w:hAnsi="仿宋" w:eastAsia="仿宋"/>
                <w:sz w:val="24"/>
                <w:szCs w:val="24"/>
              </w:rPr>
            </w:pPr>
          </w:p>
        </w:tc>
        <w:tc>
          <w:tcPr>
            <w:tcW w:w="2268" w:type="dxa"/>
            <w:vAlign w:val="center"/>
          </w:tcPr>
          <w:p w14:paraId="25C147B3">
            <w:pPr>
              <w:widowControl w:val="0"/>
              <w:ind w:firstLine="0" w:firstLineChars="0"/>
              <w:jc w:val="both"/>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 xml:space="preserve">数学分析 </w:t>
            </w:r>
            <w:r>
              <w:rPr>
                <w:rFonts w:hint="eastAsia" w:ascii="仿宋" w:hAnsi="仿宋" w:eastAsia="仿宋" w:cs="仿宋"/>
                <w:i w:val="0"/>
                <w:iCs w:val="0"/>
                <w:caps w:val="0"/>
                <w:spacing w:val="0"/>
                <w:sz w:val="24"/>
                <w:szCs w:val="24"/>
                <w:shd w:val="clear" w:fill="FFFFFF"/>
                <w:lang w:val="en-US" w:eastAsia="zh-CN"/>
                <w:woUserID w:val="1"/>
              </w:rPr>
              <w:t>二</w:t>
            </w:r>
          </w:p>
        </w:tc>
        <w:tc>
          <w:tcPr>
            <w:tcW w:w="1843" w:type="dxa"/>
            <w:vAlign w:val="center"/>
          </w:tcPr>
          <w:p w14:paraId="02E874B9">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5.0</w:t>
            </w:r>
          </w:p>
        </w:tc>
        <w:tc>
          <w:tcPr>
            <w:tcW w:w="2551" w:type="dxa"/>
            <w:vAlign w:val="center"/>
          </w:tcPr>
          <w:p w14:paraId="2AD296C1">
            <w:pPr>
              <w:widowControl w:val="0"/>
              <w:ind w:firstLine="0" w:firstLineChars="0"/>
              <w:jc w:val="center"/>
              <w:rPr>
                <w:rFonts w:ascii="仿宋" w:hAnsi="仿宋" w:eastAsia="仿宋"/>
                <w:sz w:val="24"/>
                <w:szCs w:val="24"/>
              </w:rPr>
            </w:pPr>
            <w:r>
              <w:rPr>
                <w:rFonts w:hint="eastAsia" w:ascii="仿宋" w:hAnsi="仿宋" w:eastAsia="仿宋" w:cs="仿宋"/>
                <w:kern w:val="2"/>
                <w:sz w:val="24"/>
                <w:szCs w:val="24"/>
                <w:lang w:val="en-US" w:eastAsia="zh-CN" w:bidi="ar-SA"/>
              </w:rPr>
              <w:t>80</w:t>
            </w:r>
          </w:p>
        </w:tc>
      </w:tr>
      <w:tr w14:paraId="4F97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2BD1F16D">
            <w:pPr>
              <w:ind w:right="71"/>
              <w:jc w:val="center"/>
              <w:rPr>
                <w:rFonts w:ascii="仿宋" w:hAnsi="仿宋" w:eastAsia="仿宋"/>
                <w:sz w:val="24"/>
                <w:szCs w:val="24"/>
              </w:rPr>
            </w:pPr>
          </w:p>
        </w:tc>
        <w:tc>
          <w:tcPr>
            <w:tcW w:w="1276" w:type="dxa"/>
            <w:vMerge w:val="continue"/>
            <w:vAlign w:val="center"/>
          </w:tcPr>
          <w:p w14:paraId="30279FD1">
            <w:pPr>
              <w:widowControl w:val="0"/>
              <w:ind w:firstLine="0" w:firstLineChars="0"/>
              <w:jc w:val="both"/>
              <w:rPr>
                <w:rFonts w:ascii="仿宋" w:hAnsi="仿宋" w:eastAsia="仿宋"/>
                <w:sz w:val="24"/>
                <w:szCs w:val="24"/>
              </w:rPr>
            </w:pPr>
          </w:p>
        </w:tc>
        <w:tc>
          <w:tcPr>
            <w:tcW w:w="2268" w:type="dxa"/>
            <w:vAlign w:val="center"/>
          </w:tcPr>
          <w:p w14:paraId="7B2AD7C2">
            <w:pPr>
              <w:widowControl w:val="0"/>
              <w:ind w:firstLine="0" w:firstLineChars="0"/>
              <w:jc w:val="both"/>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 xml:space="preserve">数学分析 </w:t>
            </w:r>
            <w:r>
              <w:rPr>
                <w:rFonts w:hint="eastAsia" w:ascii="仿宋" w:hAnsi="仿宋" w:eastAsia="仿宋" w:cs="仿宋"/>
                <w:i w:val="0"/>
                <w:iCs w:val="0"/>
                <w:caps w:val="0"/>
                <w:spacing w:val="0"/>
                <w:sz w:val="24"/>
                <w:szCs w:val="24"/>
                <w:shd w:val="clear" w:fill="FFFFFF"/>
                <w:lang w:val="en-US" w:eastAsia="zh-CN"/>
                <w:woUserID w:val="1"/>
              </w:rPr>
              <w:t>三</w:t>
            </w:r>
          </w:p>
        </w:tc>
        <w:tc>
          <w:tcPr>
            <w:tcW w:w="1843" w:type="dxa"/>
            <w:vAlign w:val="center"/>
          </w:tcPr>
          <w:p w14:paraId="35A42E94">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5.0</w:t>
            </w:r>
          </w:p>
        </w:tc>
        <w:tc>
          <w:tcPr>
            <w:tcW w:w="2551" w:type="dxa"/>
            <w:vAlign w:val="center"/>
          </w:tcPr>
          <w:p w14:paraId="769BBC67">
            <w:pPr>
              <w:widowControl w:val="0"/>
              <w:ind w:firstLine="0" w:firstLineChars="0"/>
              <w:jc w:val="center"/>
              <w:rPr>
                <w:rFonts w:ascii="仿宋" w:hAnsi="仿宋" w:eastAsia="仿宋"/>
                <w:sz w:val="24"/>
                <w:szCs w:val="24"/>
              </w:rPr>
            </w:pPr>
            <w:r>
              <w:rPr>
                <w:rFonts w:hint="eastAsia" w:ascii="仿宋" w:hAnsi="仿宋" w:eastAsia="仿宋" w:cs="仿宋"/>
                <w:kern w:val="2"/>
                <w:sz w:val="24"/>
                <w:szCs w:val="24"/>
                <w:lang w:val="en-US" w:eastAsia="zh-CN" w:bidi="ar-SA"/>
              </w:rPr>
              <w:t>81</w:t>
            </w:r>
          </w:p>
        </w:tc>
      </w:tr>
      <w:tr w14:paraId="248B4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A563C7A">
            <w:pPr>
              <w:ind w:right="71"/>
              <w:jc w:val="center"/>
              <w:rPr>
                <w:rFonts w:ascii="仿宋" w:hAnsi="仿宋" w:eastAsia="仿宋"/>
                <w:sz w:val="24"/>
                <w:szCs w:val="24"/>
              </w:rPr>
            </w:pPr>
          </w:p>
        </w:tc>
        <w:tc>
          <w:tcPr>
            <w:tcW w:w="1276" w:type="dxa"/>
            <w:vMerge w:val="continue"/>
            <w:vAlign w:val="center"/>
          </w:tcPr>
          <w:p w14:paraId="295AC420">
            <w:pPr>
              <w:widowControl w:val="0"/>
              <w:ind w:firstLine="0" w:firstLineChars="0"/>
              <w:jc w:val="both"/>
              <w:rPr>
                <w:rFonts w:ascii="仿宋" w:hAnsi="仿宋" w:eastAsia="仿宋"/>
                <w:sz w:val="24"/>
                <w:szCs w:val="24"/>
              </w:rPr>
            </w:pPr>
          </w:p>
        </w:tc>
        <w:tc>
          <w:tcPr>
            <w:tcW w:w="2268" w:type="dxa"/>
            <w:vAlign w:val="center"/>
          </w:tcPr>
          <w:p w14:paraId="1A22D51F">
            <w:pPr>
              <w:widowControl w:val="0"/>
              <w:ind w:firstLine="0" w:firstLineChars="0"/>
              <w:jc w:val="both"/>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 xml:space="preserve">高等代数 </w:t>
            </w:r>
            <w:r>
              <w:rPr>
                <w:rFonts w:hint="eastAsia" w:ascii="仿宋" w:hAnsi="仿宋" w:eastAsia="仿宋" w:cs="仿宋"/>
                <w:i w:val="0"/>
                <w:iCs w:val="0"/>
                <w:caps w:val="0"/>
                <w:spacing w:val="0"/>
                <w:sz w:val="24"/>
                <w:szCs w:val="24"/>
                <w:shd w:val="clear" w:fill="FFFFFF"/>
                <w:lang w:val="en-US" w:eastAsia="zh-CN"/>
                <w:woUserID w:val="1"/>
              </w:rPr>
              <w:t>一</w:t>
            </w:r>
          </w:p>
        </w:tc>
        <w:tc>
          <w:tcPr>
            <w:tcW w:w="1843" w:type="dxa"/>
            <w:vAlign w:val="center"/>
          </w:tcPr>
          <w:p w14:paraId="4556C367">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5.0</w:t>
            </w:r>
          </w:p>
        </w:tc>
        <w:tc>
          <w:tcPr>
            <w:tcW w:w="2551" w:type="dxa"/>
            <w:vAlign w:val="center"/>
          </w:tcPr>
          <w:p w14:paraId="2C9328A7">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81</w:t>
            </w:r>
          </w:p>
        </w:tc>
      </w:tr>
      <w:tr w14:paraId="7F15F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3B67FC57">
            <w:pPr>
              <w:ind w:right="71"/>
              <w:jc w:val="center"/>
              <w:rPr>
                <w:rFonts w:ascii="仿宋" w:hAnsi="仿宋" w:eastAsia="仿宋"/>
                <w:sz w:val="24"/>
                <w:szCs w:val="24"/>
              </w:rPr>
            </w:pPr>
          </w:p>
        </w:tc>
        <w:tc>
          <w:tcPr>
            <w:tcW w:w="1276" w:type="dxa"/>
            <w:vMerge w:val="continue"/>
            <w:vAlign w:val="center"/>
          </w:tcPr>
          <w:p w14:paraId="1F485C31">
            <w:pPr>
              <w:widowControl w:val="0"/>
              <w:ind w:firstLine="0" w:firstLineChars="0"/>
              <w:jc w:val="both"/>
              <w:rPr>
                <w:rFonts w:ascii="仿宋" w:hAnsi="仿宋" w:eastAsia="仿宋"/>
                <w:sz w:val="24"/>
                <w:szCs w:val="24"/>
              </w:rPr>
            </w:pPr>
          </w:p>
        </w:tc>
        <w:tc>
          <w:tcPr>
            <w:tcW w:w="2268" w:type="dxa"/>
            <w:vAlign w:val="center"/>
          </w:tcPr>
          <w:p w14:paraId="36057B53">
            <w:pPr>
              <w:widowControl w:val="0"/>
              <w:ind w:firstLine="0" w:firstLineChars="0"/>
              <w:jc w:val="both"/>
              <w:rPr>
                <w:rFonts w:hint="eastAsia" w:ascii="仿宋" w:hAnsi="仿宋" w:eastAsia="仿宋"/>
                <w:sz w:val="24"/>
                <w:szCs w:val="24"/>
                <w:lang w:val="en-US" w:eastAsia="zh-CN"/>
              </w:rPr>
            </w:pPr>
            <w:r>
              <w:rPr>
                <w:rFonts w:hint="default" w:ascii="仿宋" w:hAnsi="仿宋" w:eastAsia="仿宋" w:cs="仿宋"/>
                <w:i w:val="0"/>
                <w:iCs w:val="0"/>
                <w:caps w:val="0"/>
                <w:spacing w:val="0"/>
                <w:sz w:val="24"/>
                <w:szCs w:val="24"/>
                <w:shd w:val="clear" w:fill="FFFFFF"/>
                <w:woUserID w:val="1"/>
              </w:rPr>
              <w:t xml:space="preserve">高等代数 </w:t>
            </w:r>
            <w:r>
              <w:rPr>
                <w:rFonts w:hint="eastAsia" w:ascii="仿宋" w:hAnsi="仿宋" w:eastAsia="仿宋" w:cs="仿宋"/>
                <w:i w:val="0"/>
                <w:iCs w:val="0"/>
                <w:caps w:val="0"/>
                <w:spacing w:val="0"/>
                <w:sz w:val="24"/>
                <w:szCs w:val="24"/>
                <w:shd w:val="clear" w:fill="FFFFFF"/>
                <w:lang w:val="en-US" w:eastAsia="zh-CN"/>
                <w:woUserID w:val="1"/>
              </w:rPr>
              <w:t>二</w:t>
            </w:r>
          </w:p>
        </w:tc>
        <w:tc>
          <w:tcPr>
            <w:tcW w:w="1843" w:type="dxa"/>
            <w:vAlign w:val="center"/>
          </w:tcPr>
          <w:p w14:paraId="0B58E97C">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5.0</w:t>
            </w:r>
          </w:p>
        </w:tc>
        <w:tc>
          <w:tcPr>
            <w:tcW w:w="2551" w:type="dxa"/>
            <w:vAlign w:val="center"/>
          </w:tcPr>
          <w:p w14:paraId="6D01F4B7">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8</w:t>
            </w:r>
            <w:r>
              <w:rPr>
                <w:rFonts w:hint="eastAsia" w:ascii="仿宋" w:hAnsi="仿宋" w:eastAsia="仿宋" w:cs="仿宋"/>
                <w:i w:val="0"/>
                <w:iCs w:val="0"/>
                <w:caps w:val="0"/>
                <w:spacing w:val="0"/>
                <w:sz w:val="24"/>
                <w:szCs w:val="24"/>
                <w:shd w:val="clear" w:fill="FFFFFF"/>
                <w:lang w:val="en-US" w:eastAsia="zh-CN"/>
                <w:woUserID w:val="1"/>
              </w:rPr>
              <w:t>8</w:t>
            </w:r>
          </w:p>
        </w:tc>
      </w:tr>
      <w:tr w14:paraId="59B33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815AEBE">
            <w:pPr>
              <w:ind w:right="71"/>
              <w:jc w:val="center"/>
              <w:rPr>
                <w:rFonts w:ascii="仿宋" w:hAnsi="仿宋" w:eastAsia="仿宋"/>
                <w:sz w:val="24"/>
                <w:szCs w:val="24"/>
              </w:rPr>
            </w:pPr>
          </w:p>
        </w:tc>
        <w:tc>
          <w:tcPr>
            <w:tcW w:w="1276" w:type="dxa"/>
            <w:vMerge w:val="continue"/>
            <w:vAlign w:val="center"/>
          </w:tcPr>
          <w:p w14:paraId="42DD6280">
            <w:pPr>
              <w:widowControl w:val="0"/>
              <w:ind w:firstLine="0" w:firstLineChars="0"/>
              <w:jc w:val="both"/>
              <w:rPr>
                <w:rFonts w:ascii="仿宋" w:hAnsi="仿宋" w:eastAsia="仿宋"/>
                <w:sz w:val="24"/>
                <w:szCs w:val="24"/>
              </w:rPr>
            </w:pPr>
          </w:p>
        </w:tc>
        <w:tc>
          <w:tcPr>
            <w:tcW w:w="2268" w:type="dxa"/>
            <w:vAlign w:val="center"/>
          </w:tcPr>
          <w:p w14:paraId="42189A2C">
            <w:pPr>
              <w:widowControl w:val="0"/>
              <w:ind w:firstLine="0" w:firstLineChars="0"/>
              <w:jc w:val="both"/>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会计学原理</w:t>
            </w:r>
          </w:p>
        </w:tc>
        <w:tc>
          <w:tcPr>
            <w:tcW w:w="1843" w:type="dxa"/>
            <w:vAlign w:val="center"/>
          </w:tcPr>
          <w:p w14:paraId="44DF6360">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3.0</w:t>
            </w:r>
          </w:p>
        </w:tc>
        <w:tc>
          <w:tcPr>
            <w:tcW w:w="2551" w:type="dxa"/>
            <w:vAlign w:val="center"/>
          </w:tcPr>
          <w:p w14:paraId="48F4281A">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88</w:t>
            </w:r>
          </w:p>
        </w:tc>
      </w:tr>
      <w:tr w14:paraId="69F0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4BA62581">
            <w:pPr>
              <w:ind w:right="71"/>
              <w:jc w:val="center"/>
              <w:rPr>
                <w:rFonts w:ascii="仿宋" w:hAnsi="仿宋" w:eastAsia="仿宋"/>
                <w:sz w:val="24"/>
                <w:szCs w:val="24"/>
              </w:rPr>
            </w:pPr>
          </w:p>
        </w:tc>
        <w:tc>
          <w:tcPr>
            <w:tcW w:w="1276" w:type="dxa"/>
            <w:vMerge w:val="continue"/>
            <w:vAlign w:val="center"/>
          </w:tcPr>
          <w:p w14:paraId="3FF9A6BF">
            <w:pPr>
              <w:widowControl w:val="0"/>
              <w:ind w:firstLine="0" w:firstLineChars="0"/>
              <w:jc w:val="both"/>
              <w:rPr>
                <w:rFonts w:ascii="仿宋" w:hAnsi="仿宋" w:eastAsia="仿宋"/>
                <w:sz w:val="24"/>
                <w:szCs w:val="24"/>
              </w:rPr>
            </w:pPr>
          </w:p>
        </w:tc>
        <w:tc>
          <w:tcPr>
            <w:tcW w:w="2268" w:type="dxa"/>
            <w:vAlign w:val="center"/>
          </w:tcPr>
          <w:p w14:paraId="677EC1E7">
            <w:pPr>
              <w:widowControl w:val="0"/>
              <w:ind w:firstLine="0" w:firstLineChars="0"/>
              <w:jc w:val="both"/>
              <w:rPr>
                <w:rFonts w:ascii="仿宋" w:hAnsi="仿宋" w:eastAsia="仿宋"/>
                <w:sz w:val="24"/>
                <w:szCs w:val="24"/>
              </w:rPr>
            </w:pPr>
            <w:r>
              <w:rPr>
                <w:rFonts w:hint="eastAsia" w:ascii="仿宋" w:hAnsi="仿宋" w:eastAsia="仿宋" w:cs="仿宋"/>
                <w:i w:val="0"/>
                <w:iCs w:val="0"/>
                <w:caps w:val="0"/>
                <w:spacing w:val="0"/>
                <w:sz w:val="24"/>
                <w:szCs w:val="24"/>
                <w:shd w:val="clear" w:fill="FFFFFF"/>
                <w:lang w:val="en-US" w:eastAsia="zh-CN"/>
                <w:woUserID w:val="1"/>
              </w:rPr>
              <w:t>金融工程</w:t>
            </w:r>
          </w:p>
        </w:tc>
        <w:tc>
          <w:tcPr>
            <w:tcW w:w="1843" w:type="dxa"/>
            <w:vAlign w:val="center"/>
          </w:tcPr>
          <w:p w14:paraId="04E1B6EE">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3.0</w:t>
            </w:r>
          </w:p>
        </w:tc>
        <w:tc>
          <w:tcPr>
            <w:tcW w:w="2551" w:type="dxa"/>
            <w:vAlign w:val="center"/>
          </w:tcPr>
          <w:p w14:paraId="62336D2D">
            <w:pPr>
              <w:widowControl w:val="0"/>
              <w:ind w:firstLine="0" w:firstLineChars="0"/>
              <w:jc w:val="center"/>
              <w:rPr>
                <w:rFonts w:ascii="仿宋" w:hAnsi="仿宋" w:eastAsia="仿宋"/>
                <w:sz w:val="24"/>
                <w:szCs w:val="24"/>
              </w:rPr>
            </w:pPr>
            <w:r>
              <w:rPr>
                <w:rFonts w:hint="eastAsia" w:ascii="仿宋" w:hAnsi="仿宋" w:eastAsia="仿宋" w:cs="仿宋"/>
                <w:i w:val="0"/>
                <w:iCs w:val="0"/>
                <w:caps w:val="0"/>
                <w:spacing w:val="0"/>
                <w:sz w:val="24"/>
                <w:szCs w:val="24"/>
                <w:shd w:val="clear" w:fill="FFFFFF"/>
                <w:lang w:val="en-US" w:eastAsia="zh-CN"/>
                <w:woUserID w:val="1"/>
              </w:rPr>
              <w:t>97</w:t>
            </w:r>
          </w:p>
        </w:tc>
      </w:tr>
      <w:tr w14:paraId="7058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3EA18FDA">
            <w:pPr>
              <w:ind w:right="71"/>
              <w:jc w:val="center"/>
              <w:rPr>
                <w:rFonts w:ascii="仿宋" w:hAnsi="仿宋" w:eastAsia="仿宋"/>
                <w:sz w:val="24"/>
                <w:szCs w:val="24"/>
              </w:rPr>
            </w:pPr>
          </w:p>
        </w:tc>
        <w:tc>
          <w:tcPr>
            <w:tcW w:w="1276" w:type="dxa"/>
            <w:vMerge w:val="continue"/>
            <w:vAlign w:val="center"/>
          </w:tcPr>
          <w:p w14:paraId="57186F57">
            <w:pPr>
              <w:widowControl w:val="0"/>
              <w:ind w:firstLine="0" w:firstLineChars="0"/>
              <w:jc w:val="both"/>
              <w:rPr>
                <w:rFonts w:ascii="仿宋" w:hAnsi="仿宋" w:eastAsia="仿宋"/>
                <w:sz w:val="24"/>
                <w:szCs w:val="24"/>
              </w:rPr>
            </w:pPr>
          </w:p>
        </w:tc>
        <w:tc>
          <w:tcPr>
            <w:tcW w:w="2268" w:type="dxa"/>
            <w:vAlign w:val="center"/>
          </w:tcPr>
          <w:p w14:paraId="5F7451F1">
            <w:pPr>
              <w:widowControl w:val="0"/>
              <w:ind w:firstLine="0" w:firstLineChars="0"/>
              <w:jc w:val="both"/>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数据科学与工程基础</w:t>
            </w:r>
          </w:p>
        </w:tc>
        <w:tc>
          <w:tcPr>
            <w:tcW w:w="1843" w:type="dxa"/>
            <w:vAlign w:val="center"/>
          </w:tcPr>
          <w:p w14:paraId="0C7875A0">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2.0</w:t>
            </w:r>
          </w:p>
        </w:tc>
        <w:tc>
          <w:tcPr>
            <w:tcW w:w="2551" w:type="dxa"/>
            <w:vAlign w:val="center"/>
          </w:tcPr>
          <w:p w14:paraId="04454442">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95</w:t>
            </w:r>
          </w:p>
        </w:tc>
      </w:tr>
      <w:tr w14:paraId="4DF5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trPr>
        <w:tc>
          <w:tcPr>
            <w:tcW w:w="1696" w:type="dxa"/>
            <w:vMerge w:val="continue"/>
            <w:vAlign w:val="center"/>
          </w:tcPr>
          <w:p w14:paraId="07F16031">
            <w:pPr>
              <w:ind w:right="71"/>
              <w:jc w:val="center"/>
              <w:rPr>
                <w:rFonts w:ascii="仿宋" w:hAnsi="仿宋" w:eastAsia="仿宋"/>
                <w:sz w:val="24"/>
                <w:szCs w:val="24"/>
              </w:rPr>
            </w:pPr>
          </w:p>
        </w:tc>
        <w:tc>
          <w:tcPr>
            <w:tcW w:w="1276" w:type="dxa"/>
            <w:vMerge w:val="continue"/>
            <w:vAlign w:val="center"/>
          </w:tcPr>
          <w:p w14:paraId="5203FF5B">
            <w:pPr>
              <w:widowControl w:val="0"/>
              <w:ind w:firstLine="0" w:firstLineChars="0"/>
              <w:jc w:val="both"/>
              <w:rPr>
                <w:rFonts w:ascii="仿宋" w:hAnsi="仿宋" w:eastAsia="仿宋"/>
                <w:sz w:val="24"/>
                <w:szCs w:val="24"/>
              </w:rPr>
            </w:pPr>
          </w:p>
        </w:tc>
        <w:tc>
          <w:tcPr>
            <w:tcW w:w="2268" w:type="dxa"/>
            <w:vAlign w:val="center"/>
          </w:tcPr>
          <w:p w14:paraId="7E6831CD">
            <w:pPr>
              <w:widowControl w:val="0"/>
              <w:ind w:firstLine="0" w:firstLineChars="0"/>
              <w:jc w:val="both"/>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科学计算程序设计基础</w:t>
            </w:r>
          </w:p>
        </w:tc>
        <w:tc>
          <w:tcPr>
            <w:tcW w:w="1843" w:type="dxa"/>
            <w:vAlign w:val="center"/>
          </w:tcPr>
          <w:p w14:paraId="7E4B8D50">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3.0</w:t>
            </w:r>
          </w:p>
        </w:tc>
        <w:tc>
          <w:tcPr>
            <w:tcW w:w="2551" w:type="dxa"/>
            <w:vAlign w:val="center"/>
          </w:tcPr>
          <w:p w14:paraId="33794267">
            <w:pPr>
              <w:widowControl w:val="0"/>
              <w:ind w:firstLine="0" w:firstLineChars="0"/>
              <w:jc w:val="center"/>
              <w:rPr>
                <w:rFonts w:ascii="仿宋" w:hAnsi="仿宋" w:eastAsia="仿宋"/>
                <w:sz w:val="24"/>
                <w:szCs w:val="24"/>
              </w:rPr>
            </w:pPr>
            <w:r>
              <w:rPr>
                <w:rFonts w:hint="default" w:ascii="仿宋" w:hAnsi="仿宋" w:eastAsia="仿宋" w:cs="仿宋"/>
                <w:i w:val="0"/>
                <w:iCs w:val="0"/>
                <w:caps w:val="0"/>
                <w:spacing w:val="0"/>
                <w:sz w:val="24"/>
                <w:szCs w:val="24"/>
                <w:shd w:val="clear" w:fill="FFFFFF"/>
                <w:woUserID w:val="1"/>
              </w:rPr>
              <w:t>95</w:t>
            </w:r>
          </w:p>
        </w:tc>
      </w:tr>
      <w:tr w14:paraId="2E25C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505" w:hRule="atLeast"/>
        </w:trPr>
        <w:tc>
          <w:tcPr>
            <w:tcW w:w="1696" w:type="dxa"/>
            <w:vMerge w:val="continue"/>
            <w:tcBorders>
              <w:bottom w:val="single" w:color="auto" w:sz="4" w:space="0"/>
            </w:tcBorders>
            <w:vAlign w:val="center"/>
          </w:tcPr>
          <w:p w14:paraId="0AF91599">
            <w:pPr>
              <w:ind w:right="71"/>
              <w:jc w:val="center"/>
              <w:rPr>
                <w:rFonts w:ascii="仿宋" w:hAnsi="仿宋" w:eastAsia="仿宋"/>
                <w:sz w:val="24"/>
                <w:szCs w:val="24"/>
              </w:rPr>
            </w:pPr>
          </w:p>
        </w:tc>
        <w:tc>
          <w:tcPr>
            <w:tcW w:w="1276" w:type="dxa"/>
            <w:tcBorders>
              <w:bottom w:val="single" w:color="auto" w:sz="4" w:space="0"/>
            </w:tcBorders>
            <w:vAlign w:val="center"/>
          </w:tcPr>
          <w:p w14:paraId="10BE4E0D">
            <w:pPr>
              <w:jc w:val="center"/>
              <w:rPr>
                <w:rFonts w:ascii="仿宋" w:hAnsi="仿宋" w:eastAsia="仿宋"/>
                <w:sz w:val="24"/>
                <w:szCs w:val="24"/>
              </w:rPr>
            </w:pPr>
            <w:r>
              <w:rPr>
                <w:rFonts w:hint="eastAsia" w:ascii="仿宋" w:hAnsi="仿宋" w:eastAsia="仿宋"/>
                <w:sz w:val="24"/>
                <w:szCs w:val="24"/>
              </w:rPr>
              <w:t>曾经参与科研情况</w:t>
            </w:r>
          </w:p>
        </w:tc>
        <w:tc>
          <w:tcPr>
            <w:tcW w:w="6662" w:type="dxa"/>
            <w:gridSpan w:val="3"/>
            <w:tcBorders>
              <w:bottom w:val="single" w:color="auto" w:sz="4" w:space="0"/>
            </w:tcBorders>
            <w:vAlign w:val="center"/>
          </w:tcPr>
          <w:p w14:paraId="038F5E6A">
            <w:pPr>
              <w:rPr>
                <w:rFonts w:hint="eastAsia" w:ascii="仿宋" w:hAnsi="仿宋" w:eastAsia="仿宋"/>
                <w:sz w:val="24"/>
                <w:szCs w:val="24"/>
                <w:lang w:val="en-US" w:eastAsia="zh-CN"/>
              </w:rPr>
            </w:pPr>
            <w:r>
              <w:rPr>
                <w:rFonts w:hint="eastAsia" w:ascii="仿宋" w:hAnsi="仿宋" w:eastAsia="仿宋"/>
                <w:sz w:val="24"/>
                <w:szCs w:val="24"/>
                <w:lang w:val="en-US" w:eastAsia="zh-CN"/>
              </w:rPr>
              <w:t>无</w:t>
            </w:r>
          </w:p>
        </w:tc>
      </w:tr>
      <w:tr w14:paraId="6C48A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86" w:hRule="atLeast"/>
        </w:trPr>
        <w:tc>
          <w:tcPr>
            <w:tcW w:w="1696" w:type="dxa"/>
            <w:vAlign w:val="center"/>
          </w:tcPr>
          <w:p w14:paraId="2851D669">
            <w:pPr>
              <w:ind w:right="71"/>
              <w:jc w:val="center"/>
              <w:rPr>
                <w:rFonts w:ascii="仿宋" w:hAnsi="仿宋" w:eastAsia="仿宋"/>
                <w:sz w:val="24"/>
                <w:szCs w:val="24"/>
              </w:rPr>
            </w:pPr>
            <w:r>
              <w:rPr>
                <w:rFonts w:ascii="仿宋" w:hAnsi="仿宋" w:eastAsia="仿宋"/>
                <w:sz w:val="24"/>
              </w:rPr>
              <w:t>项目性质</w:t>
            </w:r>
          </w:p>
        </w:tc>
        <w:tc>
          <w:tcPr>
            <w:tcW w:w="7938" w:type="dxa"/>
            <w:gridSpan w:val="4"/>
            <w:vAlign w:val="center"/>
          </w:tcPr>
          <w:p w14:paraId="30EF1CA3">
            <w:pPr>
              <w:rPr>
                <w:rFonts w:ascii="仿宋" w:hAnsi="仿宋" w:eastAsia="仿宋"/>
                <w:szCs w:val="21"/>
              </w:rPr>
            </w:pPr>
            <w:r>
              <w:rPr>
                <w:rFonts w:ascii="仿宋" w:hAnsi="仿宋" w:eastAsia="仿宋"/>
                <w:szCs w:val="21"/>
              </w:rPr>
              <w:t xml:space="preserve">□小发明、小创作、小设计等 </w:t>
            </w:r>
            <w:r>
              <w:rPr>
                <w:rFonts w:hint="eastAsia" w:ascii="仿宋" w:hAnsi="仿宋" w:eastAsia="仿宋"/>
                <w:szCs w:val="21"/>
              </w:rPr>
              <w:t xml:space="preserve">    </w:t>
            </w:r>
          </w:p>
          <w:p w14:paraId="602A66C4">
            <w:pPr>
              <w:rPr>
                <w:rFonts w:ascii="仿宋" w:hAnsi="仿宋" w:eastAsia="仿宋"/>
                <w:szCs w:val="21"/>
              </w:rPr>
            </w:pPr>
            <w:r>
              <w:rPr>
                <w:rFonts w:ascii="仿宋" w:hAnsi="仿宋" w:eastAsia="仿宋"/>
                <w:szCs w:val="21"/>
              </w:rPr>
              <w:t>□开放实验室或实习基地中的创新性实验</w:t>
            </w:r>
            <w:r>
              <w:rPr>
                <w:rFonts w:hint="eastAsia" w:ascii="仿宋" w:hAnsi="仿宋" w:eastAsia="仿宋"/>
                <w:szCs w:val="21"/>
              </w:rPr>
              <w:t xml:space="preserve">或新实验开发  </w:t>
            </w:r>
          </w:p>
          <w:p w14:paraId="55B546F7">
            <w:pPr>
              <w:rPr>
                <w:rFonts w:ascii="仿宋" w:hAnsi="仿宋" w:eastAsia="仿宋"/>
                <w:szCs w:val="21"/>
              </w:rPr>
            </w:pPr>
            <w:r>
              <w:rPr>
                <w:rFonts w:ascii="仿宋" w:hAnsi="仿宋" w:eastAsia="仿宋"/>
                <w:szCs w:val="21"/>
              </w:rPr>
              <w:t>□</w:t>
            </w:r>
            <w:r>
              <w:rPr>
                <w:rFonts w:hint="eastAsia" w:ascii="仿宋" w:hAnsi="仿宋" w:eastAsia="仿宋"/>
                <w:szCs w:val="21"/>
              </w:rPr>
              <w:t>基础</w:t>
            </w:r>
            <w:r>
              <w:rPr>
                <w:rFonts w:ascii="仿宋" w:hAnsi="仿宋" w:eastAsia="仿宋"/>
                <w:szCs w:val="21"/>
              </w:rPr>
              <w:t>性研究</w:t>
            </w:r>
            <w:r>
              <w:rPr>
                <w:rFonts w:hint="eastAsia" w:ascii="仿宋" w:hAnsi="仿宋" w:eastAsia="仿宋"/>
                <w:szCs w:val="21"/>
              </w:rPr>
              <w:t xml:space="preserve">          </w:t>
            </w:r>
            <w:r>
              <w:rPr>
                <w:rFonts w:hint="eastAsia" w:ascii="仿宋" w:hAnsi="仿宋" w:eastAsia="仿宋"/>
                <w:szCs w:val="21"/>
                <w:lang w:eastAsia="zh-CN"/>
              </w:rPr>
              <w:t>☑</w:t>
            </w:r>
            <w:r>
              <w:rPr>
                <w:rFonts w:ascii="仿宋" w:hAnsi="仿宋" w:eastAsia="仿宋"/>
                <w:szCs w:val="21"/>
              </w:rPr>
              <w:t>应用性研究</w:t>
            </w:r>
          </w:p>
          <w:p w14:paraId="669B3B8E">
            <w:pPr>
              <w:rPr>
                <w:rFonts w:ascii="仿宋" w:hAnsi="仿宋" w:eastAsia="仿宋"/>
                <w:szCs w:val="21"/>
              </w:rPr>
            </w:pPr>
            <w:r>
              <w:rPr>
                <w:rFonts w:ascii="仿宋" w:hAnsi="仿宋" w:eastAsia="仿宋"/>
                <w:szCs w:val="21"/>
              </w:rPr>
              <w:t>□社会调研</w:t>
            </w:r>
            <w:r>
              <w:rPr>
                <w:rFonts w:hint="eastAsia" w:ascii="仿宋" w:hAnsi="仿宋" w:eastAsia="仿宋"/>
                <w:szCs w:val="21"/>
              </w:rPr>
              <w:t xml:space="preserve">            </w:t>
            </w:r>
            <w:r>
              <w:rPr>
                <w:rFonts w:ascii="仿宋" w:hAnsi="仿宋" w:eastAsia="仿宋"/>
                <w:szCs w:val="21"/>
              </w:rPr>
              <w:t>□</w:t>
            </w:r>
            <w:r>
              <w:rPr>
                <w:rFonts w:hint="eastAsia" w:ascii="仿宋" w:hAnsi="仿宋" w:eastAsia="仿宋"/>
                <w:szCs w:val="21"/>
              </w:rPr>
              <w:t>教育教学研习项目</w:t>
            </w:r>
          </w:p>
        </w:tc>
      </w:tr>
      <w:tr w14:paraId="109E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8" w:hRule="atLeast"/>
        </w:trPr>
        <w:tc>
          <w:tcPr>
            <w:tcW w:w="1696" w:type="dxa"/>
            <w:vAlign w:val="center"/>
          </w:tcPr>
          <w:p w14:paraId="3D081443">
            <w:pPr>
              <w:ind w:right="71"/>
              <w:jc w:val="center"/>
              <w:rPr>
                <w:rFonts w:ascii="仿宋" w:hAnsi="仿宋" w:eastAsia="仿宋"/>
                <w:sz w:val="24"/>
              </w:rPr>
            </w:pPr>
            <w:r>
              <w:rPr>
                <w:rFonts w:hint="eastAsia" w:ascii="仿宋" w:hAnsi="仿宋" w:eastAsia="仿宋"/>
                <w:sz w:val="24"/>
              </w:rPr>
              <w:t>项目选题</w:t>
            </w:r>
          </w:p>
          <w:p w14:paraId="3A23B161">
            <w:pPr>
              <w:ind w:right="71"/>
              <w:jc w:val="center"/>
              <w:rPr>
                <w:rFonts w:ascii="仿宋" w:hAnsi="仿宋" w:eastAsia="仿宋"/>
                <w:sz w:val="24"/>
              </w:rPr>
            </w:pPr>
            <w:r>
              <w:rPr>
                <w:rFonts w:hint="eastAsia" w:ascii="仿宋" w:hAnsi="仿宋" w:eastAsia="仿宋"/>
                <w:sz w:val="24"/>
              </w:rPr>
              <w:t>来源</w:t>
            </w:r>
          </w:p>
        </w:tc>
        <w:tc>
          <w:tcPr>
            <w:tcW w:w="7938" w:type="dxa"/>
            <w:gridSpan w:val="4"/>
            <w:vAlign w:val="center"/>
          </w:tcPr>
          <w:p w14:paraId="06589D80">
            <w:pPr>
              <w:rPr>
                <w:rFonts w:ascii="仿宋" w:hAnsi="仿宋" w:eastAsia="仿宋"/>
                <w:szCs w:val="21"/>
              </w:rPr>
            </w:pPr>
            <w:r>
              <w:rPr>
                <w:rFonts w:ascii="仿宋" w:hAnsi="仿宋" w:eastAsia="仿宋"/>
                <w:szCs w:val="21"/>
              </w:rPr>
              <w:t xml:space="preserve">□自主立题 </w:t>
            </w:r>
            <w:r>
              <w:rPr>
                <w:rFonts w:hint="eastAsia" w:ascii="仿宋" w:hAnsi="仿宋" w:eastAsia="仿宋"/>
                <w:szCs w:val="21"/>
              </w:rPr>
              <w:t xml:space="preserve">           </w:t>
            </w:r>
            <w:r>
              <w:rPr>
                <w:rFonts w:hint="eastAsia" w:ascii="仿宋" w:hAnsi="仿宋" w:eastAsia="仿宋"/>
                <w:szCs w:val="21"/>
                <w:lang w:eastAsia="zh-CN"/>
              </w:rPr>
              <w:t>☑</w:t>
            </w:r>
            <w:r>
              <w:rPr>
                <w:rFonts w:ascii="仿宋" w:hAnsi="仿宋" w:eastAsia="仿宋"/>
                <w:szCs w:val="21"/>
              </w:rPr>
              <w:t>教师科研课题的</w:t>
            </w:r>
            <w:r>
              <w:rPr>
                <w:rFonts w:hint="eastAsia" w:ascii="仿宋" w:hAnsi="仿宋" w:eastAsia="仿宋"/>
                <w:szCs w:val="21"/>
              </w:rPr>
              <w:t>子</w:t>
            </w:r>
            <w:r>
              <w:rPr>
                <w:rFonts w:ascii="仿宋" w:hAnsi="仿宋" w:eastAsia="仿宋"/>
                <w:szCs w:val="21"/>
              </w:rPr>
              <w:t>项目</w:t>
            </w:r>
          </w:p>
        </w:tc>
      </w:tr>
      <w:tr w14:paraId="258F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92" w:hRule="atLeast"/>
        </w:trPr>
        <w:tc>
          <w:tcPr>
            <w:tcW w:w="1696" w:type="dxa"/>
            <w:vAlign w:val="center"/>
          </w:tcPr>
          <w:p w14:paraId="057F2DF7">
            <w:pPr>
              <w:ind w:right="71"/>
              <w:jc w:val="center"/>
              <w:rPr>
                <w:rFonts w:ascii="仿宋" w:hAnsi="仿宋" w:eastAsia="仿宋"/>
                <w:sz w:val="24"/>
              </w:rPr>
            </w:pPr>
            <w:r>
              <w:rPr>
                <w:rFonts w:hint="eastAsia" w:ascii="仿宋" w:hAnsi="仿宋" w:eastAsia="仿宋"/>
                <w:sz w:val="24"/>
              </w:rPr>
              <w:t>项目受其他渠道资助情况</w:t>
            </w:r>
          </w:p>
        </w:tc>
        <w:tc>
          <w:tcPr>
            <w:tcW w:w="7938" w:type="dxa"/>
            <w:gridSpan w:val="4"/>
          </w:tcPr>
          <w:p w14:paraId="33D4DE8F">
            <w:pPr>
              <w:jc w:val="left"/>
              <w:rPr>
                <w:rFonts w:hint="eastAsia" w:ascii="仿宋" w:hAnsi="仿宋" w:eastAsia="仿宋"/>
                <w:szCs w:val="21"/>
              </w:rPr>
            </w:pPr>
            <w:r>
              <w:rPr>
                <w:rFonts w:hint="eastAsia" w:ascii="仿宋" w:hAnsi="仿宋" w:eastAsia="仿宋"/>
                <w:szCs w:val="21"/>
              </w:rPr>
              <w:t>“无”或“具体资助来源和经费”，包括曾获奖情况</w:t>
            </w:r>
          </w:p>
          <w:p w14:paraId="7B131167">
            <w:pPr>
              <w:jc w:val="left"/>
              <w:rPr>
                <w:rFonts w:hint="default" w:ascii="仿宋" w:hAnsi="仿宋" w:eastAsia="仿宋"/>
                <w:bCs/>
                <w:sz w:val="32"/>
                <w:szCs w:val="22"/>
                <w:lang w:val="en-US" w:eastAsia="zh-CN"/>
              </w:rPr>
            </w:pPr>
            <w:r>
              <w:rPr>
                <w:rFonts w:hint="eastAsia" w:ascii="仿宋" w:hAnsi="仿宋" w:eastAsia="仿宋"/>
                <w:sz w:val="22"/>
                <w:szCs w:val="24"/>
              </w:rPr>
              <w:t>“正大杯”第十</w:t>
            </w:r>
            <w:r>
              <w:rPr>
                <w:rFonts w:hint="eastAsia" w:ascii="仿宋" w:hAnsi="仿宋" w:eastAsia="仿宋"/>
                <w:sz w:val="22"/>
                <w:szCs w:val="24"/>
                <w:lang w:val="en-US" w:eastAsia="zh-CN"/>
              </w:rPr>
              <w:t>六</w:t>
            </w:r>
            <w:r>
              <w:rPr>
                <w:rFonts w:hint="eastAsia" w:ascii="仿宋" w:hAnsi="仿宋" w:eastAsia="仿宋"/>
                <w:sz w:val="22"/>
                <w:szCs w:val="24"/>
              </w:rPr>
              <w:t>届全国大学生市场调查与分析大赛</w:t>
            </w:r>
            <w:r>
              <w:rPr>
                <w:rFonts w:hint="eastAsia" w:ascii="仿宋" w:hAnsi="仿宋" w:eastAsia="仿宋"/>
                <w:sz w:val="22"/>
                <w:szCs w:val="24"/>
                <w:lang w:val="en-US" w:eastAsia="zh-CN"/>
              </w:rPr>
              <w:t>上海市一等奖</w:t>
            </w:r>
          </w:p>
        </w:tc>
      </w:tr>
    </w:tbl>
    <w:p w14:paraId="48E2428E">
      <w:pPr>
        <w:rPr>
          <w:rFonts w:eastAsia="黑体"/>
          <w:b/>
          <w:bCs/>
          <w:sz w:val="28"/>
        </w:rPr>
      </w:pPr>
      <w:r>
        <w:rPr>
          <w:rFonts w:hint="eastAsia" w:eastAsia="黑体"/>
          <w:b/>
          <w:bCs/>
          <w:sz w:val="28"/>
        </w:rPr>
        <w:t>二、</w:t>
      </w:r>
      <w:r>
        <w:rPr>
          <w:rFonts w:eastAsia="黑体"/>
          <w:b/>
          <w:bCs/>
          <w:sz w:val="28"/>
        </w:rPr>
        <w:t>立项</w:t>
      </w:r>
      <w:r>
        <w:rPr>
          <w:rFonts w:hint="eastAsia" w:eastAsia="黑体"/>
          <w:b/>
          <w:bCs/>
          <w:sz w:val="28"/>
        </w:rPr>
        <w:t>背景及依据</w:t>
      </w:r>
    </w:p>
    <w:tbl>
      <w:tblPr>
        <w:tblStyle w:val="8"/>
        <w:tblW w:w="9631"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1"/>
      </w:tblGrid>
      <w:tr w14:paraId="12709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77" w:hRule="atLeast"/>
        </w:trPr>
        <w:tc>
          <w:tcPr>
            <w:tcW w:w="9631" w:type="dxa"/>
          </w:tcPr>
          <w:p w14:paraId="62A549F8">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宋体" w:hAnsi="宋体" w:eastAsia="宋体" w:cs="宋体"/>
                <w:color w:val="1F1F1F"/>
                <w:sz w:val="22"/>
                <w:rtl w:val="0"/>
                <w:lang w:val="en-US" w:eastAsia="zh-CN"/>
              </w:rPr>
            </w:pPr>
            <w:bookmarkStart w:id="0" w:name="_Hlk112786637"/>
            <w:r>
              <w:rPr>
                <w:rFonts w:hint="eastAsia" w:ascii="宋体" w:hAnsi="宋体" w:eastAsia="宋体" w:cs="宋体"/>
                <w:color w:val="1F1F1F"/>
                <w:sz w:val="22"/>
                <w:rtl w:val="0"/>
              </w:rPr>
              <w:t xml:space="preserve">1. </w:t>
            </w:r>
            <w:r>
              <w:rPr>
                <w:rFonts w:hint="eastAsia" w:ascii="宋体" w:hAnsi="宋体" w:eastAsia="宋体" w:cs="宋体"/>
                <w:color w:val="1F1F1F"/>
                <w:sz w:val="22"/>
                <w:rtl w:val="0"/>
                <w:lang w:val="en-US" w:eastAsia="zh-CN"/>
              </w:rPr>
              <w:t>研究背景</w:t>
            </w:r>
          </w:p>
          <w:p w14:paraId="573FF557">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宋体" w:hAnsi="宋体" w:eastAsia="宋体" w:cs="宋体"/>
                <w:color w:val="1F1F1F"/>
                <w:sz w:val="22"/>
                <w:rtl w:val="0"/>
              </w:rPr>
            </w:pPr>
            <w:bookmarkStart w:id="1" w:name="_Toc13447"/>
            <w:bookmarkStart w:id="2" w:name="_Toc16709"/>
            <w:bookmarkStart w:id="3" w:name="_Toc9521"/>
            <w:bookmarkStart w:id="4" w:name="_Toc23072"/>
            <w:bookmarkStart w:id="5" w:name="_Toc19522"/>
            <w:r>
              <w:rPr>
                <w:rFonts w:hint="eastAsia" w:ascii="宋体" w:hAnsi="宋体" w:eastAsia="宋体" w:cs="宋体"/>
                <w:color w:val="1F1F1F"/>
                <w:sz w:val="22"/>
                <w:rtl w:val="0"/>
                <w:lang w:val="en-US" w:eastAsia="zh-CN"/>
              </w:rPr>
              <w:t>1.1</w:t>
            </w:r>
            <w:r>
              <w:rPr>
                <w:rFonts w:hint="eastAsia" w:ascii="宋体" w:hAnsi="宋体" w:eastAsia="宋体" w:cs="宋体"/>
                <w:color w:val="1F1F1F"/>
                <w:sz w:val="22"/>
                <w:rtl w:val="0"/>
              </w:rPr>
              <w:t>宏观背景：双重矛盾催生以房养老的需求</w:t>
            </w:r>
            <w:bookmarkEnd w:id="1"/>
            <w:bookmarkEnd w:id="2"/>
            <w:bookmarkEnd w:id="3"/>
            <w:bookmarkEnd w:id="4"/>
            <w:bookmarkEnd w:id="5"/>
          </w:p>
          <w:p w14:paraId="4E652721">
            <w:pPr>
              <w:spacing w:before="156"/>
              <w:ind w:firstLine="480"/>
              <w:rPr>
                <w:rFonts w:hint="eastAsia" w:ascii="宋体" w:hAnsi="宋体" w:eastAsia="宋体" w:cs="宋体"/>
              </w:rPr>
            </w:pPr>
            <w:r>
              <w:rPr>
                <w:rFonts w:hint="eastAsia" w:ascii="宋体" w:hAnsi="宋体" w:eastAsia="宋体" w:cs="宋体"/>
              </w:rPr>
              <w:t>我国已全面进入深度老龄化社会，2024年末60岁及以上人口达3.10亿，占总人口22.0%。未富先老、生育率持续低迷、养老金替代率下降，叠加四二一家庭结构，让传统家庭养老模式逐步失效，养老资金供给成为社会亟待解决的问题。我国居民财富大量沉淀于住房资产，截至2025年底居民住房资产规模达296.27万亿元，住房净值约258万亿元。城镇家庭住房自有率高达96%，老年群体房产持有率更高且基本无房贷压力，住房资产是国民养老的核心财富支撑。但海量住房资产长期闲置，无法转化为稳定养老现金流，老年群体房产富足而现金短缺的矛盾突出，亟需有效工具激活存量住房财富。</w:t>
            </w:r>
          </w:p>
          <w:p w14:paraId="6BBB456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宋体" w:hAnsi="宋体" w:eastAsia="宋体" w:cs="宋体"/>
                <w:color w:val="1F1F1F"/>
                <w:sz w:val="22"/>
                <w:rtl w:val="0"/>
                <w:lang w:val="en-US" w:eastAsia="zh-CN"/>
              </w:rPr>
            </w:pPr>
            <w:r>
              <w:rPr>
                <w:rFonts w:hint="eastAsia" w:ascii="宋体" w:hAnsi="宋体" w:eastAsia="宋体" w:cs="宋体"/>
                <w:color w:val="1F1F1F"/>
                <w:sz w:val="22"/>
                <w:rtl w:val="0"/>
                <w:lang w:val="en-US" w:eastAsia="zh-CN"/>
              </w:rPr>
              <w:t>1.2制度困境：传统以房养老面临现实瓶颈</w:t>
            </w:r>
          </w:p>
          <w:p w14:paraId="3EC93E07">
            <w:pPr>
              <w:spacing w:before="156"/>
              <w:ind w:firstLine="420" w:firstLineChars="200"/>
              <w:rPr>
                <w:rFonts w:hint="eastAsia" w:ascii="宋体" w:hAnsi="宋体" w:eastAsia="宋体" w:cs="宋体"/>
              </w:rPr>
            </w:pPr>
            <w:r>
              <w:rPr>
                <w:rFonts w:hint="eastAsia" w:ascii="宋体" w:hAnsi="宋体" w:eastAsia="宋体" w:cs="宋体"/>
              </w:rPr>
              <w:t>以房养老是老年人将自有住房价值转化为养老资金的模式，狭义核心为住房反向抵押贷款，由金融机构评估房产后定期支付养老资金，借款人离世后以房产处置收益偿还相关费用。我国自2013年启动以房养老试点，十余年推广始终未能形成规模，截至2021年底全国承保家庭不足200户。现有银行与保险两类实践模式均存在短板，准入门槛高、给付水平低、缺乏风险兜底，市场吸引力严重不足。</w:t>
            </w:r>
          </w:p>
          <w:p w14:paraId="65935C58">
            <w:pPr>
              <w:spacing w:before="156"/>
              <w:ind w:left="0" w:leftChars="0" w:right="0" w:rightChars="0" w:firstLine="0" w:firstLineChars="0"/>
              <w:jc w:val="center"/>
              <w:rPr>
                <w:rFonts w:hint="eastAsia" w:ascii="宋体" w:hAnsi="宋体" w:eastAsia="宋体" w:cs="宋体"/>
              </w:rPr>
            </w:pPr>
            <w:r>
              <w:rPr>
                <w:rFonts w:hint="eastAsia"/>
              </w:rPr>
              <w:drawing>
                <wp:inline distT="0" distB="0" distL="114300" distR="114300">
                  <wp:extent cx="5814060" cy="1141095"/>
                  <wp:effectExtent l="0" t="0" r="0" b="0"/>
                  <wp:docPr id="52" name="图片 52" descr="政策演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政策演进"/>
                          <pic:cNvPicPr>
                            <a:picLocks noChangeAspect="1"/>
                          </pic:cNvPicPr>
                        </pic:nvPicPr>
                        <pic:blipFill>
                          <a:blip r:embed="rId4"/>
                          <a:stretch>
                            <a:fillRect/>
                          </a:stretch>
                        </pic:blipFill>
                        <pic:spPr>
                          <a:xfrm>
                            <a:off x="0" y="0"/>
                            <a:ext cx="5814060" cy="1141095"/>
                          </a:xfrm>
                          <a:prstGeom prst="rect">
                            <a:avLst/>
                          </a:prstGeom>
                        </pic:spPr>
                      </pic:pic>
                    </a:graphicData>
                  </a:graphic>
                </wp:inline>
              </w:drawing>
            </w:r>
          </w:p>
          <w:p w14:paraId="44EFBC03">
            <w:pPr>
              <w:spacing w:before="156"/>
              <w:ind w:firstLine="420" w:firstLineChars="200"/>
              <w:rPr>
                <w:rFonts w:hint="eastAsia" w:ascii="宋体" w:hAnsi="宋体" w:eastAsia="宋体" w:cs="宋体"/>
              </w:rPr>
            </w:pPr>
            <w:r>
              <w:rPr>
                <w:rFonts w:hint="eastAsia" w:ascii="宋体" w:hAnsi="宋体" w:eastAsia="宋体" w:cs="宋体"/>
              </w:rPr>
              <w:t>传统模式推广失败的根源是观念与制度的双重制约。家本位文化下房产传承的传统观念束缚老年人决策，制度层面缺乏风险对冲与政府保障机制，叠加养老诈骗负面舆情影响，公众对传统模式信任度极低，亟需制度创新破解发展困局。</w:t>
            </w:r>
          </w:p>
          <w:p w14:paraId="5D9F157E">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宋体" w:hAnsi="宋体" w:eastAsia="宋体" w:cs="宋体"/>
                <w:color w:val="1F1F1F"/>
                <w:sz w:val="22"/>
                <w:rtl w:val="0"/>
                <w:lang w:val="en-US" w:eastAsia="zh-CN"/>
              </w:rPr>
            </w:pPr>
            <w:bookmarkStart w:id="6" w:name="_Toc9997"/>
            <w:bookmarkStart w:id="7" w:name="_Toc13623"/>
            <w:r>
              <w:rPr>
                <w:rFonts w:hint="eastAsia" w:ascii="宋体" w:hAnsi="宋体" w:eastAsia="宋体" w:cs="宋体"/>
                <w:color w:val="1F1F1F"/>
                <w:sz w:val="22"/>
                <w:rtl w:val="0"/>
                <w:lang w:val="en-US" w:eastAsia="zh-CN"/>
              </w:rPr>
              <w:t>1.3破局关键：信托嵌入以房养老的底层逻辑</w:t>
            </w:r>
            <w:bookmarkEnd w:id="6"/>
            <w:bookmarkEnd w:id="7"/>
          </w:p>
          <w:p w14:paraId="3B0865AE">
            <w:pPr>
              <w:pStyle w:val="4"/>
              <w:numPr>
                <w:ilvl w:val="3"/>
                <w:numId w:val="2"/>
              </w:numPr>
              <w:spacing w:before="124"/>
              <w:rPr>
                <w:rFonts w:hint="eastAsia" w:ascii="宋体" w:hAnsi="宋体" w:eastAsia="宋体" w:cs="宋体"/>
              </w:rPr>
            </w:pPr>
            <w:r>
              <w:rPr>
                <w:rFonts w:hint="eastAsia" w:ascii="宋体" w:hAnsi="宋体" w:eastAsia="宋体" w:cs="宋体"/>
              </w:rPr>
              <w:t>信托凭制度优势系统释放房产养老潜能</w:t>
            </w:r>
          </w:p>
          <w:p w14:paraId="253039EA">
            <w:pPr>
              <w:spacing w:before="156"/>
              <w:ind w:firstLine="480"/>
              <w:rPr>
                <w:rFonts w:hint="eastAsia" w:ascii="宋体" w:hAnsi="宋体" w:eastAsia="宋体" w:cs="宋体"/>
                <w:lang w:bidi="ar"/>
              </w:rPr>
            </w:pPr>
            <w:r>
              <w:rPr>
                <w:rFonts w:hint="eastAsia" w:ascii="宋体" w:hAnsi="宋体" w:eastAsia="宋体" w:cs="宋体"/>
                <w:lang w:bidi="ar"/>
              </w:rPr>
              <w:t>信托因具备财产独立、风险隔离、灵活分配等独特</w:t>
            </w:r>
            <w:r>
              <w:rPr>
                <w:rFonts w:hint="eastAsia" w:ascii="宋体" w:hAnsi="宋体" w:eastAsia="宋体" w:cs="宋体"/>
                <w:b/>
                <w:bCs/>
                <w:lang w:bidi="ar"/>
              </w:rPr>
              <w:t>制度优势</w:t>
            </w:r>
            <w:r>
              <w:rPr>
                <w:rFonts w:hint="eastAsia" w:ascii="宋体" w:hAnsi="宋体" w:eastAsia="宋体" w:cs="宋体"/>
                <w:lang w:bidi="ar"/>
              </w:rPr>
              <w:t>，被广泛视为摆脱传统以房养老路径困境的</w:t>
            </w:r>
            <w:r>
              <w:rPr>
                <w:rFonts w:hint="eastAsia" w:ascii="宋体" w:hAnsi="宋体" w:eastAsia="宋体" w:cs="宋体"/>
                <w:b/>
                <w:bCs/>
                <w:lang w:bidi="ar"/>
              </w:rPr>
              <w:t>重要突破口</w:t>
            </w:r>
            <w:r>
              <w:rPr>
                <w:rFonts w:hint="eastAsia" w:ascii="宋体" w:hAnsi="宋体" w:eastAsia="宋体" w:cs="宋体"/>
                <w:lang w:bidi="ar"/>
              </w:rPr>
              <w:t>。相较以房养老保险模式，信托型以房养老在制度上具有显著优势：</w:t>
            </w:r>
          </w:p>
          <w:p w14:paraId="462A9B34">
            <w:pPr>
              <w:spacing w:before="156"/>
              <w:ind w:firstLine="482"/>
              <w:rPr>
                <w:rFonts w:hint="eastAsia" w:ascii="宋体" w:hAnsi="宋体" w:eastAsia="宋体" w:cs="宋体"/>
                <w:lang w:bidi="ar"/>
              </w:rPr>
            </w:pPr>
            <w:r>
              <w:rPr>
                <w:rFonts w:hint="eastAsia" w:ascii="宋体" w:hAnsi="宋体" w:eastAsia="宋体" w:cs="宋体"/>
                <w:b/>
                <w:bCs/>
                <w:lang w:bidi="ar"/>
              </w:rPr>
              <w:t>其一，彻底的风险隔离</w:t>
            </w:r>
            <w:r>
              <w:rPr>
                <w:rFonts w:hint="eastAsia" w:ascii="宋体" w:hAnsi="宋体" w:eastAsia="宋体" w:cs="宋体"/>
                <w:lang w:bidi="ar"/>
              </w:rPr>
              <w:t>：依据《中华人民共和国信托法》第十七条，信托财产的独立性可实现养老资产与委托人（老人）、受托人（信托公司）固有资产的有效隔离，即便委托人发生债务纠纷、婚姻变动或受托人破产，信托财产也不纳入清算范围，保障养老资金与房产安全；</w:t>
            </w:r>
          </w:p>
          <w:p w14:paraId="6B90E185">
            <w:pPr>
              <w:spacing w:before="156"/>
              <w:ind w:firstLine="482"/>
              <w:rPr>
                <w:rFonts w:hint="eastAsia" w:ascii="宋体" w:hAnsi="宋体" w:eastAsia="宋体" w:cs="宋体"/>
                <w:lang w:bidi="ar"/>
              </w:rPr>
            </w:pPr>
            <w:r>
              <w:rPr>
                <w:rFonts w:hint="eastAsia" w:ascii="宋体" w:hAnsi="宋体" w:eastAsia="宋体" w:cs="宋体"/>
                <w:b/>
                <w:bCs/>
                <w:lang w:bidi="ar"/>
              </w:rPr>
              <w:t>其二，资产与服务的资源整合</w:t>
            </w:r>
            <w:r>
              <w:rPr>
                <w:rFonts w:hint="eastAsia" w:ascii="宋体" w:hAnsi="宋体" w:eastAsia="宋体" w:cs="宋体"/>
                <w:lang w:bidi="ar"/>
              </w:rPr>
              <w:t>：信托可作为“特殊目的载体（SPV）”，串联房产国企（负责城市更新、资产盘活）与养老机构（负责实体照护），提供“房产改造+资金给付+康养服务”的一站式解决方案，更贴合老年人多元化养老需求；</w:t>
            </w:r>
          </w:p>
          <w:p w14:paraId="30289E08">
            <w:pPr>
              <w:spacing w:before="156"/>
              <w:ind w:firstLine="482"/>
              <w:rPr>
                <w:rFonts w:hint="eastAsia" w:ascii="宋体" w:hAnsi="宋体" w:eastAsia="宋体" w:cs="宋体"/>
                <w:lang w:bidi="ar"/>
              </w:rPr>
            </w:pPr>
            <w:r>
              <w:rPr>
                <w:rFonts w:hint="eastAsia" w:ascii="宋体" w:hAnsi="宋体" w:eastAsia="宋体" w:cs="宋体"/>
                <w:b/>
                <w:bCs/>
                <w:lang w:bidi="ar"/>
              </w:rPr>
              <w:t>其三，灵活的权益切割与传承</w:t>
            </w:r>
            <w:r>
              <w:rPr>
                <w:rFonts w:hint="eastAsia" w:ascii="宋体" w:hAnsi="宋体" w:eastAsia="宋体" w:cs="宋体"/>
                <w:lang w:bidi="ar"/>
              </w:rPr>
              <w:t>：信托契约可灵活设定“优先赎回权”与“剩余收益分配权”，在保障老人终身居住权与稳定现金流的同时，兼顾子女的财产继承诉求，从根本上化解“家本位”文化下的代际利益冲突；</w:t>
            </w:r>
          </w:p>
          <w:p w14:paraId="21437658">
            <w:pPr>
              <w:spacing w:before="156"/>
              <w:ind w:firstLine="482"/>
              <w:rPr>
                <w:rFonts w:hint="eastAsia" w:ascii="宋体" w:hAnsi="宋体" w:eastAsia="宋体" w:cs="宋体"/>
                <w:lang w:bidi="ar"/>
              </w:rPr>
            </w:pPr>
            <w:r>
              <w:rPr>
                <w:rFonts w:hint="eastAsia" w:ascii="宋体" w:hAnsi="宋体" w:eastAsia="宋体" w:cs="宋体"/>
                <w:b/>
                <w:bCs/>
                <w:lang w:bidi="ar"/>
              </w:rPr>
              <w:t>其四，期限与养老需求高度契合</w:t>
            </w:r>
            <w:r>
              <w:rPr>
                <w:rFonts w:hint="eastAsia" w:ascii="宋体" w:hAnsi="宋体" w:eastAsia="宋体" w:cs="宋体"/>
                <w:lang w:bidi="ar"/>
              </w:rPr>
              <w:t>：信托期限可灵活设定为终身，能有效覆盖长寿风险，避免传统贷款期限固定导致的养老资金断供问题。</w:t>
            </w:r>
          </w:p>
          <w:p w14:paraId="341FD4DA">
            <w:pPr>
              <w:pStyle w:val="14"/>
              <w:rPr>
                <w:rStyle w:val="15"/>
                <w:rFonts w:hint="eastAsia" w:ascii="宋体" w:hAnsi="宋体" w:eastAsia="宋体" w:cs="宋体"/>
                <w:lang w:eastAsia="zh"/>
              </w:rPr>
            </w:pPr>
            <w:r>
              <w:rPr>
                <w:rFonts w:hint="eastAsia" w:ascii="宋体" w:hAnsi="宋体" w:eastAsia="宋体" w:cs="宋体"/>
                <w:lang w:bidi="ar"/>
              </w:rPr>
              <w:drawing>
                <wp:inline distT="0" distB="0" distL="114300" distR="114300">
                  <wp:extent cx="2905760" cy="1577975"/>
                  <wp:effectExtent l="0" t="0" r="8890" b="317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5"/>
                          <a:stretch>
                            <a:fillRect/>
                          </a:stretch>
                        </pic:blipFill>
                        <pic:spPr>
                          <a:xfrm>
                            <a:off x="0" y="0"/>
                            <a:ext cx="2905760" cy="1577975"/>
                          </a:xfrm>
                          <a:prstGeom prst="rect">
                            <a:avLst/>
                          </a:prstGeom>
                        </pic:spPr>
                      </pic:pic>
                    </a:graphicData>
                  </a:graphic>
                </wp:inline>
              </w:drawing>
            </w:r>
          </w:p>
          <w:p w14:paraId="44358297">
            <w:pPr>
              <w:pStyle w:val="4"/>
              <w:numPr>
                <w:ilvl w:val="3"/>
                <w:numId w:val="2"/>
              </w:numPr>
              <w:spacing w:before="124"/>
              <w:rPr>
                <w:rFonts w:hint="eastAsia" w:ascii="宋体" w:hAnsi="宋体" w:eastAsia="宋体" w:cs="宋体"/>
              </w:rPr>
            </w:pPr>
            <w:r>
              <w:rPr>
                <w:rFonts w:hint="eastAsia" w:ascii="宋体" w:hAnsi="宋体" w:eastAsia="宋体" w:cs="宋体"/>
              </w:rPr>
              <w:t>信托以房养老概念界定与业务框架构建</w:t>
            </w:r>
          </w:p>
          <w:p w14:paraId="53DFBB10">
            <w:pPr>
              <w:spacing w:before="156"/>
              <w:ind w:firstLine="480"/>
              <w:rPr>
                <w:rFonts w:hint="eastAsia" w:ascii="宋体" w:hAnsi="宋体" w:eastAsia="宋体" w:cs="宋体"/>
                <w:b/>
                <w:bCs/>
              </w:rPr>
            </w:pPr>
            <w:r>
              <w:rPr>
                <w:rFonts w:hint="eastAsia" w:ascii="宋体" w:hAnsi="宋体" w:eastAsia="宋体" w:cs="宋体"/>
              </w:rPr>
              <w:t>基于上述优势，本研究聚焦的</w:t>
            </w:r>
            <w:r>
              <w:rPr>
                <w:rFonts w:hint="eastAsia" w:ascii="宋体" w:hAnsi="宋体" w:eastAsia="宋体" w:cs="宋体"/>
                <w:b/>
                <w:bCs/>
              </w:rPr>
              <w:t>“信托以房养老”</w:t>
            </w:r>
            <w:r>
              <w:rPr>
                <w:rFonts w:hint="eastAsia" w:ascii="宋体" w:hAnsi="宋体" w:eastAsia="宋体" w:cs="宋体"/>
              </w:rPr>
              <w:t>，是指以信托法律关系为制度基础，由老年人将房产产权或其收益权转移给受托人，由受托人作为特殊目的载体（SPV），按照契约规定进行管理、运用并产生收益，最终用于保障老人养老生活的一种全新制度安排。它不再是简单的金融借贷，而是</w:t>
            </w:r>
            <w:r>
              <w:rPr>
                <w:rFonts w:hint="eastAsia" w:ascii="宋体" w:hAnsi="宋体" w:eastAsia="宋体" w:cs="宋体"/>
                <w:b/>
                <w:bCs/>
              </w:rPr>
              <w:t>整合了资金给付与实体康养服务的综合性资产服务生态。</w:t>
            </w:r>
          </w:p>
          <w:p w14:paraId="49183758">
            <w:pPr>
              <w:spacing w:before="156"/>
              <w:ind w:firstLine="480"/>
              <w:rPr>
                <w:rFonts w:hint="eastAsia" w:ascii="宋体" w:hAnsi="宋体" w:eastAsia="宋体" w:cs="宋体"/>
                <w:lang w:bidi="ar"/>
              </w:rPr>
            </w:pPr>
            <w:r>
              <w:rPr>
                <w:rFonts w:hint="eastAsia" w:ascii="宋体" w:hAnsi="宋体" w:eastAsia="宋体" w:cs="宋体"/>
                <w:lang w:bidi="ar"/>
              </w:rPr>
              <w:t>在人口老龄化加速、房地产存量时代来临、政策持续支持的多重背景下，信托以房养老模式既弥补了传统路径的制度短板，又契合了老年群体对资产安全、居住稳定、服务整合的核心诉求，有望成为我国养老金融体系重构的重要基石。</w:t>
            </w:r>
          </w:p>
          <w:p w14:paraId="51180277">
            <w:pPr>
              <w:rPr>
                <w:rFonts w:hint="eastAsia" w:ascii="宋体" w:hAnsi="宋体" w:eastAsia="宋体" w:cs="宋体"/>
                <w:rtl w:val="0"/>
                <w:lang w:val="en-US" w:eastAsia="zh-CN"/>
              </w:rPr>
            </w:pPr>
          </w:p>
          <w:p w14:paraId="00000004">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宋体" w:hAnsi="宋体" w:eastAsia="宋体" w:cs="宋体"/>
                <w:color w:val="1F1F1F"/>
                <w:sz w:val="22"/>
              </w:rPr>
            </w:pPr>
            <w:r>
              <w:rPr>
                <w:rFonts w:hint="eastAsia" w:ascii="宋体" w:hAnsi="宋体" w:eastAsia="宋体" w:cs="宋体"/>
                <w:color w:val="1F1F1F"/>
                <w:sz w:val="22"/>
                <w:rtl w:val="0"/>
                <w:lang w:val="en-US" w:eastAsia="zh-CN"/>
              </w:rPr>
              <w:t>2.</w:t>
            </w:r>
            <w:r>
              <w:rPr>
                <w:rFonts w:hint="eastAsia" w:ascii="宋体" w:hAnsi="宋体" w:eastAsia="宋体" w:cs="宋体"/>
                <w:color w:val="1F1F1F"/>
                <w:sz w:val="22"/>
                <w:rtl w:val="0"/>
              </w:rPr>
              <w:t>研究目的</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eastAsia" w:ascii="宋体" w:hAnsi="宋体" w:eastAsia="宋体" w:cs="宋体"/>
                <w:color w:val="1F1F1F"/>
                <w:sz w:val="22"/>
              </w:rPr>
            </w:pPr>
            <w:r>
              <w:rPr>
                <w:rFonts w:hint="eastAsia" w:ascii="宋体" w:hAnsi="宋体" w:eastAsia="宋体" w:cs="宋体"/>
                <w:color w:val="1F1F1F"/>
                <w:sz w:val="22"/>
                <w:rtl w:val="0"/>
              </w:rPr>
              <w:t>本研究旨在破解我国以房养老模式面临的“叫好不叫座”现实困局。在前期完成社会参与意愿调研的基础上，本项目拟实现从需求侧分析向供给侧落地的跨越。通过对接信托公司、保险机构及专业评估机构，构建一套具备实操性的信托型以房养老产品体系，重点攻克房产价值动态评估、长寿风险精算定价以及多方机构协同路径等核心问题，为金融机构提供标准化的业务操作指南</w:t>
            </w:r>
            <w:r>
              <w:rPr>
                <w:rFonts w:hint="eastAsia" w:ascii="宋体" w:hAnsi="宋体" w:eastAsia="宋体" w:cs="宋体"/>
                <w:color w:val="1F1F1F"/>
                <w:sz w:val="22"/>
                <w:rtl w:val="0"/>
                <w:lang w:eastAsia="zh-CN"/>
              </w:rPr>
              <w:t>，</w:t>
            </w:r>
            <w:r>
              <w:rPr>
                <w:rFonts w:hint="eastAsia" w:ascii="宋体" w:hAnsi="宋体" w:eastAsia="宋体" w:cs="宋体"/>
                <w:color w:val="1F1F1F"/>
                <w:sz w:val="22"/>
                <w:rtl w:val="0"/>
                <w:lang w:val="en-US" w:eastAsia="zh-CN"/>
              </w:rPr>
              <w:t>激活房产沉睡的养老价值</w:t>
            </w:r>
            <w:r>
              <w:rPr>
                <w:rFonts w:hint="eastAsia" w:ascii="宋体" w:hAnsi="宋体" w:eastAsia="宋体" w:cs="宋体"/>
                <w:color w:val="1F1F1F"/>
                <w:sz w:val="22"/>
                <w:rtl w:val="0"/>
              </w:rPr>
              <w:t>。</w:t>
            </w:r>
          </w:p>
          <w:p w14:paraId="00000006">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宋体" w:hAnsi="宋体" w:eastAsia="宋体" w:cs="宋体"/>
                <w:color w:val="1F1F1F"/>
                <w:sz w:val="22"/>
              </w:rPr>
            </w:pPr>
            <w:r>
              <w:rPr>
                <w:rFonts w:hint="eastAsia" w:ascii="宋体" w:hAnsi="宋体" w:eastAsia="宋体" w:cs="宋体"/>
                <w:color w:val="1F1F1F"/>
                <w:sz w:val="22"/>
                <w:rtl w:val="0"/>
                <w:lang w:val="en-US" w:eastAsia="zh-CN"/>
              </w:rPr>
              <w:t>3</w:t>
            </w:r>
            <w:r>
              <w:rPr>
                <w:rFonts w:hint="eastAsia" w:ascii="宋体" w:hAnsi="宋体" w:eastAsia="宋体" w:cs="宋体"/>
                <w:color w:val="1F1F1F"/>
                <w:sz w:val="22"/>
                <w:rtl w:val="0"/>
              </w:rPr>
              <w:t>. 国内外研究现状分析与评价</w:t>
            </w:r>
          </w:p>
          <w:p w14:paraId="721B61B5">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Chars="0"/>
              <w:rPr>
                <w:rFonts w:hint="eastAsia" w:ascii="宋体" w:hAnsi="宋体" w:eastAsia="宋体" w:cs="宋体"/>
                <w:sz w:val="22"/>
              </w:rPr>
            </w:pPr>
            <w:r>
              <w:rPr>
                <w:rFonts w:hint="eastAsia" w:ascii="宋体" w:hAnsi="宋体" w:cs="宋体"/>
                <w:b/>
                <w:bCs/>
                <w:color w:val="1F1F1F"/>
                <w:sz w:val="22"/>
                <w:rtl w:val="0"/>
                <w:lang w:val="en-US" w:eastAsia="zh-CN"/>
              </w:rPr>
              <w:t>3.1</w:t>
            </w:r>
            <w:r>
              <w:rPr>
                <w:rFonts w:hint="eastAsia" w:ascii="宋体" w:hAnsi="宋体" w:eastAsia="宋体" w:cs="宋体"/>
                <w:b/>
                <w:bCs/>
                <w:color w:val="1F1F1F"/>
                <w:sz w:val="22"/>
                <w:rtl w:val="0"/>
              </w:rPr>
              <w:t>国际经验</w:t>
            </w:r>
            <w:r>
              <w:rPr>
                <w:rFonts w:hint="eastAsia" w:ascii="宋体" w:hAnsi="宋体" w:eastAsia="宋体" w:cs="宋体"/>
                <w:color w:val="1F1F1F"/>
                <w:sz w:val="22"/>
                <w:rtl w:val="0"/>
              </w:rPr>
              <w:t>：美国反向抵押贷款模式高度依赖政府财政补贴，新加坡屋契回购模式则深度依托其强制性公积金体系。相较之下，日本通过法律隔离与双向期权设计实现的反向抵押信托模式，在资产盘活与情感传承之间取得了较好平衡，对我国具有更强的借鉴意义。</w:t>
            </w:r>
          </w:p>
          <w:p w14:paraId="49A8607F">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0" w:leftChars="0" w:right="0" w:rightChars="0" w:firstLine="0" w:firstLineChars="0"/>
              <w:jc w:val="center"/>
              <w:rPr>
                <w:rFonts w:hint="eastAsia" w:ascii="宋体" w:hAnsi="宋体" w:eastAsia="宋体" w:cs="宋体"/>
                <w:sz w:val="22"/>
              </w:rPr>
            </w:pPr>
            <w:r>
              <w:drawing>
                <wp:inline distT="0" distB="0" distL="114300" distR="114300">
                  <wp:extent cx="3094990" cy="2065655"/>
                  <wp:effectExtent l="0" t="0" r="635" b="127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6"/>
                          <a:stretch>
                            <a:fillRect/>
                          </a:stretch>
                        </pic:blipFill>
                        <pic:spPr>
                          <a:xfrm>
                            <a:off x="0" y="0"/>
                            <a:ext cx="3094990" cy="2065655"/>
                          </a:xfrm>
                          <a:prstGeom prst="rect">
                            <a:avLst/>
                          </a:prstGeom>
                          <a:noFill/>
                          <a:ln>
                            <a:noFill/>
                          </a:ln>
                        </pic:spPr>
                      </pic:pic>
                    </a:graphicData>
                  </a:graphic>
                </wp:inline>
              </w:drawing>
            </w:r>
          </w:p>
          <w:p w14:paraId="6B7C6211">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Chars="0"/>
            </w:pPr>
            <w:r>
              <w:rPr>
                <w:rFonts w:hint="eastAsia" w:ascii="宋体" w:hAnsi="宋体" w:cs="宋体"/>
                <w:b/>
                <w:bCs/>
                <w:color w:val="1F1F1F"/>
                <w:sz w:val="22"/>
                <w:rtl w:val="0"/>
                <w:lang w:val="en-US" w:eastAsia="zh-CN"/>
              </w:rPr>
              <w:t>3.2</w:t>
            </w:r>
            <w:r>
              <w:rPr>
                <w:rFonts w:hint="eastAsia" w:ascii="宋体" w:hAnsi="宋体" w:eastAsia="宋体" w:cs="宋体"/>
                <w:b/>
                <w:bCs/>
                <w:color w:val="1F1F1F"/>
                <w:sz w:val="22"/>
                <w:rtl w:val="0"/>
              </w:rPr>
              <w:t>国内现状</w:t>
            </w:r>
            <w:r>
              <w:rPr>
                <w:rFonts w:hint="eastAsia" w:ascii="宋体" w:hAnsi="宋体" w:eastAsia="宋体" w:cs="宋体"/>
                <w:color w:val="1F1F1F"/>
                <w:sz w:val="22"/>
                <w:rtl w:val="0"/>
              </w:rPr>
              <w:t>：传统保险版以房养老因缺乏有效的风险隔离机制及给付测算模型单一，实际参与家庭规模极小。</w:t>
            </w:r>
            <w:r>
              <w:t>综合既有文献可以发现，学界已从</w:t>
            </w:r>
            <w:r>
              <w:rPr>
                <w:b/>
                <w:bCs/>
              </w:rPr>
              <w:t>制度基础、家庭决策结构</w:t>
            </w:r>
            <w:r>
              <w:t>及</w:t>
            </w:r>
            <w:r>
              <w:rPr>
                <w:b/>
                <w:bCs/>
              </w:rPr>
              <w:t>风险认知</w:t>
            </w:r>
            <w:r>
              <w:t>等多个维度对“以房养老”的参与意愿形成机制展开探讨。在制度层面，已有研究强调非追索权安排、法律保障及信托结构等风险隔离机制对降低家庭参与门槛的重要作用；在家庭层面，代际支持关系与遗产传承动机被视为影响住房资产处置决策的关键调节因素；在心理层面，制度信任水平与风险感知程度则被证实在长期金融决策中发挥中介作用。</w:t>
            </w:r>
          </w:p>
          <w:p w14:paraId="1DCB1BD1">
            <w:pPr>
              <w:widowControl/>
              <w:spacing w:before="156"/>
              <w:ind w:firstLine="480"/>
            </w:pPr>
            <w:r>
              <w:t>然而，现有研究仍主要基于传统反向抵押贷款模式展开，对</w:t>
            </w:r>
            <w:r>
              <w:rPr>
                <w:b/>
                <w:bCs/>
              </w:rPr>
              <w:t>信托嵌入型以房养老这一新型制度安排的</w:t>
            </w:r>
            <w:r>
              <w:rPr>
                <w:rFonts w:hint="eastAsia"/>
                <w:b/>
                <w:bCs/>
              </w:rPr>
              <w:t>参与</w:t>
            </w:r>
            <w:r>
              <w:rPr>
                <w:b/>
                <w:bCs/>
              </w:rPr>
              <w:t>机制缺乏系统性实证检验</w:t>
            </w:r>
            <w:r>
              <w:t>。一方面，制度信任、代际支持与风险感知等变量虽被分别讨论，但其在家庭决策情境中的综合作用路径尚未得到量化验证；另一方面，既有研究较少关注中青年子女作为“代际守门人”在住房资产处置决策中的参与角色，也缺乏对不同制度保障与服务嵌入方式能否有效缓解家庭顾虑的因果识别。</w:t>
            </w:r>
          </w:p>
          <w:p w14:paraId="68280E7E">
            <w:pPr>
              <w:widowControl/>
              <w:spacing w:before="156"/>
              <w:ind w:firstLine="480"/>
            </w:pPr>
            <w:r>
              <w:t>基于此，本文在前述文献基础上，</w:t>
            </w:r>
            <w:r>
              <w:rPr>
                <w:b/>
                <w:bCs/>
              </w:rPr>
              <w:t>将制度信任、代际支持、风险感知、文化心理、金融素养及长寿预期等因素操作化为可测量变量</w:t>
            </w:r>
            <w:r>
              <w:t>，构建参与意愿影响机制分析框架，并通过问卷调查与结构方程模型对其作用路径进行检验。同时，</w:t>
            </w:r>
            <w:r>
              <w:rPr>
                <w:b/>
                <w:bCs/>
              </w:rPr>
              <w:t>结合情境实验设计，对不同信托嵌入产品方案的</w:t>
            </w:r>
            <w:r>
              <w:rPr>
                <w:rFonts w:hint="eastAsia"/>
                <w:b/>
                <w:bCs/>
              </w:rPr>
              <w:t>参与意愿</w:t>
            </w:r>
            <w:r>
              <w:rPr>
                <w:b/>
                <w:bCs/>
              </w:rPr>
              <w:t>差异进行比较分析</w:t>
            </w:r>
            <w:r>
              <w:t>，以期弥补现有研究在新型制度安排下参与意愿形成机制实证分析方面的不足。</w:t>
            </w:r>
          </w:p>
          <w:p w14:paraId="210E1CE8">
            <w:pPr>
              <w:widowControl/>
              <w:spacing w:before="156"/>
              <w:ind w:firstLine="480"/>
              <w:rPr>
                <w:rFonts w:hint="eastAsia"/>
                <w:rtl w:val="0"/>
              </w:rPr>
            </w:pPr>
          </w:p>
          <w:p w14:paraId="00000009">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Chars="0"/>
              <w:rPr>
                <w:rFonts w:hint="eastAsia" w:ascii="宋体" w:hAnsi="宋体" w:eastAsia="宋体" w:cs="宋体"/>
                <w:color w:val="1F1F1F"/>
                <w:sz w:val="22"/>
                <w:rtl w:val="0"/>
              </w:rPr>
            </w:pPr>
            <w:r>
              <w:rPr>
                <w:rFonts w:hint="eastAsia" w:ascii="宋体" w:hAnsi="宋体" w:cs="宋体"/>
                <w:b/>
                <w:bCs/>
                <w:color w:val="1F1F1F"/>
                <w:sz w:val="22"/>
                <w:rtl w:val="0"/>
                <w:lang w:val="en-US" w:eastAsia="zh-CN"/>
              </w:rPr>
              <w:t>3.3</w:t>
            </w:r>
            <w:r>
              <w:rPr>
                <w:rFonts w:hint="eastAsia" w:ascii="宋体" w:hAnsi="宋体" w:eastAsia="宋体" w:cs="宋体"/>
                <w:b/>
                <w:bCs/>
                <w:color w:val="1F1F1F"/>
                <w:sz w:val="22"/>
                <w:rtl w:val="0"/>
              </w:rPr>
              <w:t>评价</w:t>
            </w:r>
            <w:r>
              <w:rPr>
                <w:rFonts w:hint="eastAsia" w:ascii="宋体" w:hAnsi="宋体" w:eastAsia="宋体" w:cs="宋体"/>
                <w:color w:val="1F1F1F"/>
                <w:sz w:val="22"/>
                <w:rtl w:val="0"/>
              </w:rPr>
              <w:t>：目前学术界与实务界之间存在明显断层，理论研究难以直接转化为可操作的金融产品。本项目拟填补从理论模型向金融实务转化的研究</w:t>
            </w:r>
            <w:r>
              <w:rPr>
                <w:rFonts w:hint="eastAsia" w:ascii="宋体" w:hAnsi="宋体" w:eastAsia="宋体" w:cs="宋体"/>
                <w:color w:val="1F1F1F"/>
                <w:sz w:val="22"/>
                <w:rtl w:val="0"/>
                <w:lang w:val="en-US" w:eastAsia="zh-CN"/>
              </w:rPr>
              <w:t>缺口</w:t>
            </w:r>
            <w:r>
              <w:rPr>
                <w:rFonts w:hint="eastAsia" w:ascii="宋体" w:hAnsi="宋体" w:eastAsia="宋体" w:cs="宋体"/>
                <w:color w:val="1F1F1F"/>
                <w:sz w:val="22"/>
                <w:rtl w:val="0"/>
              </w:rPr>
              <w:t>。</w:t>
            </w:r>
          </w:p>
          <w:p w14:paraId="6B224132">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Chars="0"/>
              <w:rPr>
                <w:rFonts w:hint="eastAsia" w:ascii="宋体" w:hAnsi="宋体" w:eastAsia="宋体" w:cs="宋体"/>
                <w:color w:val="1F1F1F"/>
                <w:sz w:val="22"/>
                <w:rtl w:val="0"/>
              </w:rPr>
            </w:pPr>
          </w:p>
          <w:p w14:paraId="0000000A">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宋体" w:hAnsi="宋体" w:eastAsia="宋体" w:cs="宋体"/>
                <w:color w:val="1F1F1F"/>
                <w:sz w:val="22"/>
              </w:rPr>
            </w:pPr>
            <w:r>
              <w:rPr>
                <w:rFonts w:hint="eastAsia" w:ascii="宋体" w:hAnsi="宋体" w:cs="宋体"/>
                <w:color w:val="1F1F1F"/>
                <w:sz w:val="22"/>
                <w:rtl w:val="0"/>
                <w:lang w:val="en-US" w:eastAsia="zh-CN"/>
              </w:rPr>
              <w:t>4</w:t>
            </w:r>
            <w:r>
              <w:rPr>
                <w:rFonts w:hint="eastAsia" w:ascii="宋体" w:hAnsi="宋体" w:eastAsia="宋体" w:cs="宋体"/>
                <w:color w:val="1F1F1F"/>
                <w:sz w:val="22"/>
                <w:rtl w:val="0"/>
              </w:rPr>
              <w:t>.研究意义</w:t>
            </w:r>
          </w:p>
          <w:p w14:paraId="0000000B">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理论意义</w:t>
            </w:r>
            <w:r>
              <w:rPr>
                <w:rFonts w:hint="eastAsia" w:ascii="宋体" w:hAnsi="宋体" w:eastAsia="宋体" w:cs="宋体"/>
                <w:color w:val="1F1F1F"/>
                <w:sz w:val="22"/>
                <w:rtl w:val="0"/>
              </w:rPr>
              <w:t>：探索信托法理与精算数学、实物期权理论在养老金融中的交叉应用，为资产服务信托的实证研究提供新思路。</w:t>
            </w:r>
          </w:p>
          <w:p w14:paraId="0000000C">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实践意义</w:t>
            </w:r>
            <w:r>
              <w:rPr>
                <w:rFonts w:hint="eastAsia" w:ascii="宋体" w:hAnsi="宋体" w:eastAsia="宋体" w:cs="宋体"/>
                <w:color w:val="1F1F1F"/>
                <w:sz w:val="22"/>
                <w:rtl w:val="0"/>
              </w:rPr>
              <w:t>：为高房产、低现金的老年群体提供多元化的养老选择。通过赎回权设计缓解代际财产传承矛盾，为信托公司向服务信托转型提供具体的产品范本，助力银发经济健康发展。</w:t>
            </w:r>
          </w:p>
          <w:p w14:paraId="2E1ECD67">
            <w:pPr>
              <w:spacing w:before="320" w:after="120" w:line="288" w:lineRule="auto"/>
              <w:ind w:left="0"/>
              <w:jc w:val="left"/>
              <w:outlineLvl w:val="1"/>
              <w:rPr>
                <w:rFonts w:hint="eastAsia" w:ascii="宋体" w:hAnsi="宋体" w:eastAsia="宋体" w:cs="宋体"/>
                <w:sz w:val="22"/>
                <w:szCs w:val="22"/>
              </w:rPr>
            </w:pPr>
            <w:bookmarkStart w:id="8" w:name="heading_9"/>
            <w:r>
              <w:rPr>
                <w:rFonts w:hint="eastAsia" w:ascii="宋体" w:hAnsi="宋体" w:cs="宋体"/>
                <w:b/>
                <w:sz w:val="22"/>
                <w:szCs w:val="22"/>
                <w:lang w:val="en-US" w:eastAsia="zh-CN"/>
              </w:rPr>
              <w:t>5</w:t>
            </w:r>
            <w:r>
              <w:rPr>
                <w:rFonts w:hint="eastAsia" w:ascii="宋体" w:hAnsi="宋体" w:eastAsia="宋体" w:cs="宋体"/>
                <w:b/>
                <w:sz w:val="22"/>
                <w:szCs w:val="22"/>
                <w:lang w:val="en-US" w:eastAsia="zh-CN"/>
              </w:rPr>
              <w:t xml:space="preserve">. </w:t>
            </w:r>
            <w:r>
              <w:rPr>
                <w:rFonts w:hint="eastAsia" w:ascii="宋体" w:hAnsi="宋体" w:eastAsia="宋体" w:cs="宋体"/>
                <w:b/>
                <w:sz w:val="22"/>
                <w:szCs w:val="22"/>
              </w:rPr>
              <w:t>主要参考文献</w:t>
            </w:r>
            <w:bookmarkEnd w:id="8"/>
          </w:p>
          <w:p w14:paraId="0F85E23A">
            <w:pPr>
              <w:spacing w:before="120" w:after="120" w:line="288" w:lineRule="auto"/>
              <w:ind w:left="0"/>
              <w:jc w:val="left"/>
              <w:rPr>
                <w:rFonts w:hint="eastAsia" w:ascii="宋体" w:hAnsi="宋体" w:eastAsia="宋体" w:cs="宋体"/>
                <w:sz w:val="22"/>
                <w:szCs w:val="22"/>
              </w:rPr>
            </w:pPr>
            <w:r>
              <w:rPr>
                <w:rFonts w:hint="eastAsia" w:ascii="宋体" w:hAnsi="宋体" w:eastAsia="宋体" w:cs="宋体"/>
                <w:sz w:val="22"/>
                <w:szCs w:val="22"/>
              </w:rPr>
              <w:t>[1] 贾妍妍,郭晶晶,李沛原.“以房养老”的发展困境、成因与破解路径[J].房地产经济,2026(01):77-98.</w:t>
            </w:r>
          </w:p>
          <w:p w14:paraId="3FE37608">
            <w:pPr>
              <w:spacing w:before="120" w:after="120" w:line="288" w:lineRule="auto"/>
              <w:ind w:left="0"/>
              <w:jc w:val="left"/>
              <w:rPr>
                <w:rFonts w:hint="eastAsia" w:ascii="宋体" w:hAnsi="宋体" w:eastAsia="宋体" w:cs="宋体"/>
                <w:sz w:val="22"/>
                <w:szCs w:val="22"/>
              </w:rPr>
            </w:pPr>
            <w:r>
              <w:rPr>
                <w:rFonts w:hint="eastAsia" w:ascii="宋体" w:hAnsi="宋体" w:eastAsia="宋体" w:cs="宋体"/>
                <w:sz w:val="22"/>
                <w:szCs w:val="22"/>
              </w:rPr>
              <w:t>[2] 李佩珈,平婧.新加坡“以房养老”发展经验[J].中国金融,2025(04):86-88.</w:t>
            </w:r>
          </w:p>
          <w:p w14:paraId="2A793A26">
            <w:pPr>
              <w:spacing w:before="120" w:after="120" w:line="288" w:lineRule="auto"/>
              <w:ind w:left="0"/>
              <w:jc w:val="left"/>
              <w:rPr>
                <w:rFonts w:hint="eastAsia" w:ascii="宋体" w:hAnsi="宋体" w:eastAsia="宋体" w:cs="宋体"/>
                <w:sz w:val="22"/>
                <w:szCs w:val="22"/>
              </w:rPr>
            </w:pPr>
            <w:r>
              <w:rPr>
                <w:rFonts w:hint="eastAsia" w:ascii="宋体" w:hAnsi="宋体" w:eastAsia="宋体" w:cs="宋体"/>
                <w:sz w:val="22"/>
                <w:szCs w:val="22"/>
              </w:rPr>
              <w:t>[3] 熊景维,钟涨宝,李奥奇.保障替代、代际契约与信息引致:“以房养老”参与意愿的影响因素[J].人口研究,2017,41(01):46-59.</w:t>
            </w:r>
          </w:p>
          <w:p w14:paraId="38620D8B">
            <w:pPr>
              <w:spacing w:before="120" w:after="120" w:line="288" w:lineRule="auto"/>
              <w:ind w:left="0"/>
              <w:jc w:val="left"/>
              <w:rPr>
                <w:rFonts w:hint="eastAsia" w:ascii="宋体" w:hAnsi="宋体" w:eastAsia="宋体" w:cs="宋体"/>
                <w:sz w:val="22"/>
                <w:szCs w:val="22"/>
              </w:rPr>
            </w:pPr>
            <w:r>
              <w:rPr>
                <w:rFonts w:hint="eastAsia" w:ascii="宋体" w:hAnsi="宋体" w:eastAsia="宋体" w:cs="宋体"/>
                <w:sz w:val="22"/>
                <w:szCs w:val="22"/>
              </w:rPr>
              <w:t>[4] 张琪,栾海英,张栋.北京市老年人“以房养老”意愿及影响因素分析[J].调研世界,2015(11):19-23.</w:t>
            </w:r>
          </w:p>
          <w:p w14:paraId="0314E51B">
            <w:pPr>
              <w:spacing w:before="120" w:after="120" w:line="288" w:lineRule="auto"/>
              <w:ind w:left="0"/>
              <w:jc w:val="left"/>
              <w:rPr>
                <w:rFonts w:hint="eastAsia" w:ascii="宋体" w:hAnsi="宋体" w:eastAsia="宋体" w:cs="宋体"/>
                <w:sz w:val="22"/>
                <w:szCs w:val="22"/>
              </w:rPr>
            </w:pPr>
            <w:r>
              <w:rPr>
                <w:rFonts w:hint="eastAsia" w:ascii="宋体" w:hAnsi="宋体" w:eastAsia="宋体" w:cs="宋体"/>
                <w:sz w:val="22"/>
                <w:szCs w:val="22"/>
              </w:rPr>
              <w:t>[5] 五矿国际信托养老信托课题组.养老金融新解法——信托架构打通以房养老业务模式[J].银行家,2024(05):113-115.</w:t>
            </w:r>
          </w:p>
          <w:p w14:paraId="275F91C0">
            <w:pPr>
              <w:spacing w:before="120" w:after="120" w:line="288" w:lineRule="auto"/>
              <w:ind w:left="0"/>
              <w:jc w:val="left"/>
              <w:rPr>
                <w:rFonts w:hint="eastAsia" w:ascii="宋体" w:hAnsi="宋体" w:eastAsia="宋体" w:cs="宋体"/>
                <w:sz w:val="22"/>
                <w:szCs w:val="22"/>
              </w:rPr>
            </w:pPr>
            <w:r>
              <w:rPr>
                <w:rFonts w:hint="eastAsia" w:ascii="宋体" w:hAnsi="宋体" w:eastAsia="宋体" w:cs="宋体"/>
                <w:sz w:val="22"/>
                <w:szCs w:val="22"/>
              </w:rPr>
              <w:t>[6] 胡思静.房屋产权反向抵押贷款信托法律制度研究[D].中南大学,2011.</w:t>
            </w:r>
          </w:p>
          <w:p w14:paraId="52EE479B">
            <w:pPr>
              <w:spacing w:before="120" w:after="120" w:line="288" w:lineRule="auto"/>
              <w:ind w:left="0"/>
              <w:jc w:val="left"/>
              <w:rPr>
                <w:rFonts w:hint="eastAsia" w:ascii="宋体" w:hAnsi="宋体" w:eastAsia="宋体" w:cs="宋体"/>
                <w:sz w:val="22"/>
                <w:szCs w:val="22"/>
              </w:rPr>
            </w:pPr>
            <w:r>
              <w:rPr>
                <w:rFonts w:hint="eastAsia" w:ascii="宋体" w:hAnsi="宋体" w:eastAsia="宋体" w:cs="宋体"/>
                <w:sz w:val="22"/>
                <w:szCs w:val="22"/>
              </w:rPr>
              <w:t>[7] Kahneman D,Tversky A.Prospect theory:An analysis of decision under risk[J].Econometrica,1979,47(02):263-291.</w:t>
            </w:r>
          </w:p>
          <w:p w14:paraId="5DE0D1C6">
            <w:pPr>
              <w:spacing w:before="120" w:after="120" w:line="288" w:lineRule="auto"/>
              <w:ind w:left="0"/>
              <w:jc w:val="left"/>
              <w:rPr>
                <w:rFonts w:hint="eastAsia" w:ascii="宋体" w:hAnsi="宋体" w:eastAsia="宋体" w:cs="宋体"/>
                <w:sz w:val="22"/>
                <w:szCs w:val="24"/>
              </w:rPr>
            </w:pPr>
            <w:r>
              <w:rPr>
                <w:rFonts w:hint="eastAsia" w:ascii="宋体" w:hAnsi="宋体" w:eastAsia="宋体" w:cs="宋体"/>
                <w:sz w:val="22"/>
                <w:szCs w:val="22"/>
              </w:rPr>
              <w:t>[8] 国家金融监督管理总局.关于规范信托公司信托业务分类有关事项的通知[Z].2023.</w:t>
            </w:r>
          </w:p>
        </w:tc>
      </w:tr>
      <w:bookmarkEnd w:id="0"/>
    </w:tbl>
    <w:p w14:paraId="05554D60">
      <w:pPr>
        <w:rPr>
          <w:rFonts w:eastAsia="黑体"/>
          <w:b/>
          <w:bCs/>
          <w:sz w:val="28"/>
        </w:rPr>
      </w:pPr>
      <w:r>
        <w:rPr>
          <w:rFonts w:hint="eastAsia" w:eastAsia="黑体"/>
          <w:b/>
          <w:bCs/>
          <w:sz w:val="28"/>
        </w:rPr>
        <w:t>三、研究内容、拟解决的关键问题、研究方法</w:t>
      </w:r>
    </w:p>
    <w:tbl>
      <w:tblPr>
        <w:tblStyle w:val="8"/>
        <w:tblW w:w="9631"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1"/>
      </w:tblGrid>
      <w:tr w14:paraId="54F0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31" w:type="dxa"/>
          </w:tcPr>
          <w:p w14:paraId="0000000E">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eastAsia" w:ascii="宋体" w:hAnsi="宋体" w:eastAsia="宋体" w:cs="宋体"/>
                <w:color w:val="1F1F1F"/>
                <w:sz w:val="22"/>
              </w:rPr>
            </w:pPr>
            <w:r>
              <w:rPr>
                <w:rFonts w:hint="eastAsia" w:ascii="宋体" w:hAnsi="宋体" w:eastAsia="宋体" w:cs="宋体"/>
                <w:color w:val="1F1F1F"/>
                <w:sz w:val="22"/>
                <w:rtl w:val="0"/>
              </w:rPr>
              <w:t>1. 研究内容</w:t>
            </w:r>
          </w:p>
          <w:p w14:paraId="25826F9A">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业界实地访谈与逻辑验证</w:t>
            </w:r>
            <w:r>
              <w:rPr>
                <w:rFonts w:hint="eastAsia" w:ascii="宋体" w:hAnsi="宋体" w:eastAsia="宋体" w:cs="宋体"/>
                <w:color w:val="1F1F1F"/>
                <w:sz w:val="22"/>
                <w:rtl w:val="0"/>
              </w:rPr>
              <w:t>：深度走访上海信托等行业标杆机构，验证前期</w:t>
            </w:r>
            <w:r>
              <w:rPr>
                <w:rFonts w:hint="eastAsia" w:ascii="宋体" w:hAnsi="宋体" w:cs="宋体"/>
                <w:color w:val="1F1F1F"/>
                <w:sz w:val="22"/>
                <w:rtl w:val="0"/>
                <w:lang w:val="en-US" w:eastAsia="zh-CN"/>
              </w:rPr>
              <w:t>理论</w:t>
            </w:r>
            <w:r>
              <w:rPr>
                <w:rFonts w:hint="eastAsia" w:ascii="宋体" w:hAnsi="宋体" w:eastAsia="宋体" w:cs="宋体"/>
                <w:color w:val="1F1F1F"/>
                <w:sz w:val="22"/>
                <w:rtl w:val="0"/>
              </w:rPr>
              <w:t>提出的保险年金模式与养老服务信托模式的合规性，找准实务中的操作痛点。</w:t>
            </w:r>
          </w:p>
          <w:p w14:paraId="0000001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动态精算定价与压力测试</w:t>
            </w:r>
            <w:r>
              <w:rPr>
                <w:rFonts w:hint="eastAsia" w:ascii="宋体" w:hAnsi="宋体" w:eastAsia="宋体" w:cs="宋体"/>
                <w:color w:val="1F1F1F"/>
                <w:sz w:val="22"/>
                <w:rtl w:val="0"/>
              </w:rPr>
              <w:t>：引入房产价值波动率、死亡率溢价等关键变量，构建月度养老金给付额度的精算模型。模拟房价下跌 20% 至 30% 的极端场景，评估信托计划的偿付能力，并据此科学厘定风险补偿金比例。</w:t>
            </w:r>
          </w:p>
          <w:p w14:paraId="00000015">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契约条款细化与公式化设计</w:t>
            </w:r>
            <w:r>
              <w:rPr>
                <w:rFonts w:hint="eastAsia" w:ascii="宋体" w:hAnsi="宋体" w:eastAsia="宋体" w:cs="宋体"/>
                <w:color w:val="1F1F1F"/>
                <w:sz w:val="22"/>
                <w:rtl w:val="0"/>
              </w:rPr>
              <w:t>：明确非追索权的触发边界。针对子女优先赎回权拟定标准化的价格计算模型，综合考量本金、资金成本、管理费用及预期折旧，平衡机构收益与家庭传承需求。</w:t>
            </w:r>
          </w:p>
          <w:p w14:paraId="00000017">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数字化管理平台原型设计</w:t>
            </w:r>
            <w:r>
              <w:rPr>
                <w:rFonts w:hint="eastAsia" w:ascii="宋体" w:hAnsi="宋体" w:eastAsia="宋体" w:cs="宋体"/>
                <w:color w:val="1F1F1F"/>
                <w:sz w:val="22"/>
                <w:rtl w:val="0"/>
              </w:rPr>
              <w:t>：开发以房养老信托后台管理系统模型，实现房产状态监测、长寿风险动态预警及养老资金自动化拨付。</w:t>
            </w:r>
          </w:p>
          <w:p w14:paraId="00000018">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宋体" w:hAnsi="宋体" w:eastAsia="宋体" w:cs="宋体"/>
                <w:color w:val="1F1F1F"/>
                <w:sz w:val="22"/>
              </w:rPr>
            </w:pPr>
            <w:r>
              <w:rPr>
                <w:rFonts w:hint="eastAsia" w:ascii="宋体" w:hAnsi="宋体" w:eastAsia="宋体" w:cs="宋体"/>
                <w:color w:val="1F1F1F"/>
                <w:sz w:val="22"/>
                <w:rtl w:val="0"/>
              </w:rPr>
              <w:t>2. 拟解决的关键问题</w:t>
            </w:r>
          </w:p>
          <w:p w14:paraId="00000019">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color w:val="1F1F1F"/>
                <w:sz w:val="22"/>
                <w:rtl w:val="0"/>
              </w:rPr>
              <w:t>如何在房地产市场波动的环境下，确保养老保障的稳定性与金融机构的财务可持续性。</w:t>
            </w:r>
          </w:p>
          <w:p w14:paraId="0000001A">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color w:val="1F1F1F"/>
                <w:sz w:val="22"/>
                <w:rtl w:val="0"/>
              </w:rPr>
              <w:t>如何通过科学的算法设定赎回价格，化解房屋处置过程中的代际继承阻力。</w:t>
            </w:r>
          </w:p>
          <w:p w14:paraId="0000001B">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25" w:leftChars="0" w:hanging="425" w:firstLineChars="0"/>
              <w:rPr>
                <w:rFonts w:hint="eastAsia" w:ascii="宋体" w:hAnsi="宋体" w:eastAsia="宋体" w:cs="宋体"/>
                <w:sz w:val="22"/>
              </w:rPr>
            </w:pPr>
            <w:r>
              <w:rPr>
                <w:rFonts w:hint="eastAsia" w:ascii="宋体" w:hAnsi="宋体" w:eastAsia="宋体" w:cs="宋体"/>
                <w:color w:val="1F1F1F"/>
                <w:sz w:val="22"/>
                <w:rtl w:val="0"/>
              </w:rPr>
              <w:t>如何利用数字化手段降低信托资产的长期运维与管理成本。</w:t>
            </w:r>
          </w:p>
          <w:p w14:paraId="0000001C">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eastAsia" w:ascii="宋体" w:hAnsi="宋体" w:eastAsia="宋体" w:cs="宋体"/>
                <w:color w:val="1F1F1F"/>
                <w:sz w:val="22"/>
              </w:rPr>
            </w:pPr>
            <w:r>
              <w:rPr>
                <w:rFonts w:hint="eastAsia" w:ascii="宋体" w:hAnsi="宋体" w:eastAsia="宋体" w:cs="宋体"/>
                <w:color w:val="1F1F1F"/>
                <w:sz w:val="22"/>
                <w:rtl w:val="0"/>
              </w:rPr>
              <w:t>3. 研究方法</w:t>
            </w:r>
          </w:p>
          <w:p w14:paraId="0000001D">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半结构化访谈法</w:t>
            </w:r>
            <w:r>
              <w:rPr>
                <w:rFonts w:hint="eastAsia" w:ascii="宋体" w:hAnsi="宋体" w:eastAsia="宋体" w:cs="宋体"/>
                <w:color w:val="1F1F1F"/>
                <w:sz w:val="22"/>
                <w:rtl w:val="0"/>
              </w:rPr>
              <w:t>：与信托经理、精算师、资产评估师进行针对性对话，获取一线业务数据。</w:t>
            </w:r>
          </w:p>
          <w:p w14:paraId="0000001E">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精算建模与数值仿真</w:t>
            </w:r>
            <w:r>
              <w:rPr>
                <w:rFonts w:hint="eastAsia" w:ascii="宋体" w:hAnsi="宋体" w:eastAsia="宋体" w:cs="宋体"/>
                <w:color w:val="1F1F1F"/>
                <w:sz w:val="22"/>
                <w:rtl w:val="0"/>
              </w:rPr>
              <w:t>：利用蒙特卡洛模拟等方法进行压力测试与风险定价。</w:t>
            </w:r>
          </w:p>
          <w:p w14:paraId="0000001F">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交互设计法</w:t>
            </w:r>
            <w:r>
              <w:rPr>
                <w:rFonts w:hint="eastAsia" w:ascii="宋体" w:hAnsi="宋体" w:eastAsia="宋体" w:cs="宋体"/>
                <w:color w:val="1F1F1F"/>
                <w:sz w:val="22"/>
                <w:rtl w:val="0"/>
              </w:rPr>
              <w:t>：运用专业设计工具绘制数字化管理平台的逻辑架构与交互流程。</w:t>
            </w:r>
          </w:p>
          <w:p w14:paraId="32B2DFB4">
            <w:pPr>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0" w:leftChars="0" w:right="0" w:rightChars="0" w:firstLine="0" w:firstLineChars="0"/>
              <w:jc w:val="center"/>
              <w:rPr>
                <w:rFonts w:hint="eastAsia" w:ascii="宋体" w:hAnsi="宋体" w:eastAsia="宋体" w:cs="宋体"/>
                <w:sz w:val="24"/>
              </w:rPr>
            </w:pPr>
            <w:r>
              <w:rPr>
                <w:rFonts w:hint="eastAsia" w:ascii="宋体" w:hAnsi="宋体" w:eastAsia="宋体" w:cs="宋体"/>
                <w:sz w:val="22"/>
                <w:lang w:eastAsia="zh-CN"/>
              </w:rPr>
              <w:drawing>
                <wp:inline distT="0" distB="0" distL="114300" distR="114300">
                  <wp:extent cx="5031105" cy="6716395"/>
                  <wp:effectExtent l="0" t="0" r="0" b="8255"/>
                  <wp:docPr id="7" name="图片 7" descr="大创研究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大创研究设计图"/>
                          <pic:cNvPicPr>
                            <a:picLocks noChangeAspect="1"/>
                          </pic:cNvPicPr>
                        </pic:nvPicPr>
                        <pic:blipFill>
                          <a:blip r:embed="rId7"/>
                          <a:stretch>
                            <a:fillRect/>
                          </a:stretch>
                        </pic:blipFill>
                        <pic:spPr>
                          <a:xfrm>
                            <a:off x="0" y="0"/>
                            <a:ext cx="5031105" cy="6716395"/>
                          </a:xfrm>
                          <a:prstGeom prst="rect">
                            <a:avLst/>
                          </a:prstGeom>
                        </pic:spPr>
                      </pic:pic>
                    </a:graphicData>
                  </a:graphic>
                </wp:inline>
              </w:drawing>
            </w:r>
          </w:p>
        </w:tc>
      </w:tr>
    </w:tbl>
    <w:p w14:paraId="3761DF17">
      <w:pPr>
        <w:spacing w:line="370" w:lineRule="atLeast"/>
        <w:rPr>
          <w:rFonts w:eastAsia="黑体"/>
          <w:b/>
          <w:bCs/>
          <w:sz w:val="28"/>
        </w:rPr>
      </w:pPr>
      <w:r>
        <w:rPr>
          <w:rFonts w:hint="eastAsia" w:eastAsia="黑体"/>
          <w:b/>
          <w:bCs/>
          <w:sz w:val="28"/>
        </w:rPr>
        <w:t>四</w:t>
      </w:r>
      <w:r>
        <w:rPr>
          <w:rFonts w:eastAsia="黑体"/>
          <w:b/>
          <w:bCs/>
          <w:sz w:val="28"/>
        </w:rPr>
        <w:t>、</w:t>
      </w:r>
      <w:r>
        <w:rPr>
          <w:rFonts w:hint="eastAsia" w:eastAsia="黑体"/>
          <w:b/>
          <w:bCs/>
          <w:sz w:val="28"/>
        </w:rPr>
        <w:t>项目特色与创新点</w:t>
      </w:r>
    </w:p>
    <w:tbl>
      <w:tblPr>
        <w:tblStyle w:val="8"/>
        <w:tblW w:w="9631"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1"/>
      </w:tblGrid>
      <w:tr w14:paraId="3EF9A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8" w:hRule="atLeast"/>
        </w:trPr>
        <w:tc>
          <w:tcPr>
            <w:tcW w:w="9631" w:type="dxa"/>
          </w:tcPr>
          <w:p w14:paraId="00000021">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实现从调研向落地的实操转型</w:t>
            </w:r>
            <w:r>
              <w:rPr>
                <w:rFonts w:hint="eastAsia" w:ascii="宋体" w:hAnsi="宋体" w:eastAsia="宋体" w:cs="宋体"/>
                <w:color w:val="1F1F1F"/>
                <w:sz w:val="22"/>
                <w:rtl w:val="0"/>
              </w:rPr>
              <w:t>：跳出单纯的意愿调查视角，通过业界深度访谈解决产品定价与风险控制等实务难题。</w:t>
            </w:r>
          </w:p>
          <w:p w14:paraId="00000022">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精算定价与量化测试深度结合</w:t>
            </w:r>
            <w:r>
              <w:rPr>
                <w:rFonts w:hint="eastAsia" w:ascii="宋体" w:hAnsi="宋体" w:eastAsia="宋体" w:cs="宋体"/>
                <w:color w:val="1F1F1F"/>
                <w:sz w:val="22"/>
                <w:rtl w:val="0"/>
              </w:rPr>
              <w:t>：引入严谨的量化风险测试，将金融工程中的期权理论转化为可执行的费率参数。</w:t>
            </w:r>
          </w:p>
          <w:p w14:paraId="00000023">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25" w:leftChars="0" w:hanging="425" w:firstLineChars="0"/>
              <w:rPr>
                <w:rFonts w:hint="eastAsia" w:ascii="宋体" w:hAnsi="宋体" w:eastAsia="宋体" w:cs="宋体"/>
                <w:sz w:val="22"/>
              </w:rPr>
            </w:pPr>
            <w:r>
              <w:rPr>
                <w:rFonts w:hint="eastAsia" w:ascii="宋体" w:hAnsi="宋体" w:eastAsia="宋体" w:cs="宋体"/>
                <w:b/>
                <w:bCs/>
                <w:color w:val="1F1F1F"/>
                <w:sz w:val="22"/>
                <w:rtl w:val="0"/>
              </w:rPr>
              <w:t>契约条款的标准化与数字化</w:t>
            </w:r>
            <w:r>
              <w:rPr>
                <w:rFonts w:hint="eastAsia" w:ascii="宋体" w:hAnsi="宋体" w:eastAsia="宋体" w:cs="宋体"/>
                <w:color w:val="1F1F1F"/>
                <w:sz w:val="22"/>
                <w:rtl w:val="0"/>
              </w:rPr>
              <w:t>：将复杂的法律表述转化为逻辑清晰的财务公式，提升了赎回权等制度设计的科学性。</w:t>
            </w:r>
          </w:p>
          <w:p w14:paraId="57857429">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25" w:leftChars="0" w:hanging="425" w:firstLineChars="0"/>
              <w:rPr>
                <w:rFonts w:hint="eastAsia" w:ascii="宋体" w:hAnsi="宋体" w:eastAsia="宋体" w:cs="宋体"/>
                <w:sz w:val="24"/>
              </w:rPr>
            </w:pPr>
            <w:r>
              <w:rPr>
                <w:rFonts w:hint="eastAsia" w:ascii="宋体" w:hAnsi="宋体" w:eastAsia="宋体" w:cs="宋体"/>
                <w:b/>
                <w:bCs/>
                <w:color w:val="1F1F1F"/>
                <w:sz w:val="22"/>
                <w:rtl w:val="0"/>
              </w:rPr>
              <w:t>金融与科技的双轮驱动</w:t>
            </w:r>
            <w:r>
              <w:rPr>
                <w:rFonts w:hint="eastAsia" w:ascii="宋体" w:hAnsi="宋体" w:eastAsia="宋体" w:cs="宋体"/>
                <w:color w:val="1F1F1F"/>
                <w:sz w:val="22"/>
                <w:rtl w:val="0"/>
              </w:rPr>
              <w:t>：通过管理平台原型展示，体现了数字金融在养老服务领域的应用前景。</w:t>
            </w:r>
          </w:p>
        </w:tc>
      </w:tr>
    </w:tbl>
    <w:p w14:paraId="4016BA22">
      <w:pPr>
        <w:rPr>
          <w:rFonts w:hint="eastAsia" w:eastAsia="黑体"/>
          <w:b/>
          <w:bCs/>
          <w:sz w:val="28"/>
        </w:rPr>
      </w:pPr>
      <w:r>
        <w:rPr>
          <w:rFonts w:hint="eastAsia" w:eastAsia="黑体"/>
          <w:b/>
          <w:bCs/>
          <w:sz w:val="28"/>
        </w:rPr>
        <w:br w:type="page"/>
      </w:r>
    </w:p>
    <w:p w14:paraId="0AB1165A">
      <w:pPr>
        <w:spacing w:line="370" w:lineRule="atLeast"/>
        <w:rPr>
          <w:rFonts w:eastAsia="黑体"/>
          <w:b/>
          <w:bCs/>
          <w:sz w:val="28"/>
        </w:rPr>
      </w:pPr>
      <w:r>
        <w:rPr>
          <w:rFonts w:hint="eastAsia" w:eastAsia="黑体"/>
          <w:b/>
          <w:bCs/>
          <w:sz w:val="28"/>
        </w:rPr>
        <w:t>五、</w:t>
      </w:r>
      <w:r>
        <w:rPr>
          <w:rFonts w:hint="eastAsia" w:eastAsia="黑体"/>
          <w:b/>
          <w:sz w:val="28"/>
        </w:rPr>
        <w:t>项目研究进度与计划</w:t>
      </w:r>
    </w:p>
    <w:tbl>
      <w:tblPr>
        <w:tblStyle w:val="8"/>
        <w:tblW w:w="9412"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5"/>
        <w:gridCol w:w="1328"/>
        <w:gridCol w:w="4883"/>
        <w:gridCol w:w="2046"/>
      </w:tblGrid>
      <w:tr w14:paraId="39941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trPr>
        <w:tc>
          <w:tcPr>
            <w:tcW w:w="1155" w:type="dxa"/>
            <w:shd w:val="clear" w:color="auto" w:fill="auto"/>
            <w:vAlign w:val="top"/>
          </w:tcPr>
          <w:p w14:paraId="7F84A909">
            <w:pPr>
              <w:keepNext/>
              <w:snapToGrid w:val="0"/>
              <w:spacing w:before="120" w:after="120" w:line="288" w:lineRule="auto"/>
              <w:ind w:left="0" w:leftChars="0" w:right="0" w:rightChars="0" w:firstLine="0" w:firstLineChars="0"/>
              <w:jc w:val="center"/>
              <w:rPr>
                <w:rFonts w:hint="eastAsia" w:ascii="宋体" w:hAnsi="宋体" w:eastAsia="宋体" w:cs="宋体"/>
                <w:kern w:val="2"/>
                <w:sz w:val="22"/>
                <w:szCs w:val="22"/>
                <w:lang w:val="en-US" w:eastAsia="zh-CN" w:bidi="ar-SA"/>
              </w:rPr>
            </w:pPr>
            <w:r>
              <w:rPr>
                <w:rFonts w:hint="eastAsia" w:ascii="宋体" w:hAnsi="宋体" w:eastAsia="宋体" w:cs="宋体"/>
                <w:sz w:val="22"/>
                <w:szCs w:val="22"/>
              </w:rPr>
              <w:t>研究阶段</w:t>
            </w:r>
          </w:p>
        </w:tc>
        <w:tc>
          <w:tcPr>
            <w:tcW w:w="1328" w:type="dxa"/>
            <w:shd w:val="clear" w:color="auto" w:fill="auto"/>
            <w:vAlign w:val="top"/>
          </w:tcPr>
          <w:p w14:paraId="43580A1B">
            <w:pPr>
              <w:keepNext/>
              <w:snapToGrid w:val="0"/>
              <w:spacing w:before="120" w:after="120" w:line="288" w:lineRule="auto"/>
              <w:ind w:left="0" w:leftChars="0" w:right="0" w:rightChars="0" w:firstLine="0" w:firstLineChars="0"/>
              <w:jc w:val="center"/>
              <w:rPr>
                <w:rFonts w:hint="eastAsia" w:ascii="宋体" w:hAnsi="宋体" w:eastAsia="宋体" w:cs="宋体"/>
                <w:kern w:val="2"/>
                <w:sz w:val="22"/>
                <w:szCs w:val="22"/>
                <w:lang w:val="en-US" w:eastAsia="zh-CN" w:bidi="ar-SA"/>
              </w:rPr>
            </w:pPr>
            <w:r>
              <w:rPr>
                <w:rFonts w:hint="eastAsia" w:ascii="宋体" w:hAnsi="宋体" w:eastAsia="宋体" w:cs="宋体"/>
                <w:sz w:val="22"/>
                <w:szCs w:val="22"/>
              </w:rPr>
              <w:t>研究时间</w:t>
            </w:r>
          </w:p>
        </w:tc>
        <w:tc>
          <w:tcPr>
            <w:tcW w:w="4883" w:type="dxa"/>
            <w:shd w:val="clear" w:color="auto" w:fill="auto"/>
            <w:vAlign w:val="top"/>
          </w:tcPr>
          <w:p w14:paraId="1A4F31FA">
            <w:pPr>
              <w:keepNext/>
              <w:snapToGrid w:val="0"/>
              <w:spacing w:before="120" w:after="120" w:line="288" w:lineRule="auto"/>
              <w:ind w:left="0" w:leftChars="0" w:right="0" w:rightChars="0" w:firstLine="0" w:firstLineChars="0"/>
              <w:jc w:val="center"/>
              <w:rPr>
                <w:rFonts w:hint="eastAsia" w:ascii="宋体" w:hAnsi="宋体" w:eastAsia="宋体" w:cs="宋体"/>
                <w:kern w:val="2"/>
                <w:sz w:val="22"/>
                <w:szCs w:val="22"/>
                <w:lang w:val="en-US" w:eastAsia="zh-CN" w:bidi="ar-SA"/>
              </w:rPr>
            </w:pPr>
            <w:r>
              <w:rPr>
                <w:rFonts w:hint="eastAsia" w:ascii="宋体" w:hAnsi="宋体" w:eastAsia="宋体" w:cs="宋体"/>
                <w:sz w:val="22"/>
                <w:szCs w:val="22"/>
              </w:rPr>
              <w:t>核心任务</w:t>
            </w:r>
          </w:p>
        </w:tc>
        <w:tc>
          <w:tcPr>
            <w:tcW w:w="2046" w:type="dxa"/>
            <w:shd w:val="clear" w:color="auto" w:fill="auto"/>
            <w:vAlign w:val="top"/>
          </w:tcPr>
          <w:p w14:paraId="1ED4E82D">
            <w:pPr>
              <w:keepNext/>
              <w:snapToGrid w:val="0"/>
              <w:spacing w:before="120" w:after="120" w:line="288" w:lineRule="auto"/>
              <w:ind w:left="0" w:leftChars="0" w:right="0" w:rightChars="0" w:firstLine="0" w:firstLineChars="0"/>
              <w:jc w:val="center"/>
              <w:rPr>
                <w:rFonts w:hint="eastAsia" w:ascii="宋体" w:hAnsi="宋体" w:eastAsia="宋体" w:cs="宋体"/>
                <w:kern w:val="2"/>
                <w:sz w:val="22"/>
                <w:szCs w:val="22"/>
                <w:lang w:val="en-US" w:eastAsia="zh-CN" w:bidi="ar-SA"/>
              </w:rPr>
            </w:pPr>
            <w:r>
              <w:rPr>
                <w:rFonts w:hint="eastAsia" w:ascii="宋体" w:hAnsi="宋体" w:eastAsia="宋体" w:cs="宋体"/>
                <w:sz w:val="22"/>
                <w:szCs w:val="22"/>
              </w:rPr>
              <w:t>阶段目标</w:t>
            </w:r>
          </w:p>
        </w:tc>
      </w:tr>
      <w:tr w14:paraId="5F3E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55" w:type="dxa"/>
            <w:shd w:val="clear" w:color="auto" w:fill="auto"/>
            <w:vAlign w:val="top"/>
          </w:tcPr>
          <w:p w14:paraId="1DB0582B">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第一阶段：文献深化与方案梳理</w:t>
            </w:r>
          </w:p>
        </w:tc>
        <w:tc>
          <w:tcPr>
            <w:tcW w:w="1328" w:type="dxa"/>
            <w:shd w:val="clear" w:color="auto" w:fill="auto"/>
            <w:vAlign w:val="top"/>
          </w:tcPr>
          <w:p w14:paraId="7D3D49D2">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2026年4月-2026年6月（3个月）</w:t>
            </w:r>
          </w:p>
        </w:tc>
        <w:tc>
          <w:tcPr>
            <w:tcW w:w="4883" w:type="dxa"/>
            <w:shd w:val="clear" w:color="auto" w:fill="auto"/>
            <w:vAlign w:val="top"/>
          </w:tcPr>
          <w:p w14:paraId="7470E170">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1. 补充梳理产品定价、信托实操相关文献与业界案例，完善研究框架；2. 梳理</w:t>
            </w:r>
            <w:r>
              <w:rPr>
                <w:rFonts w:hint="eastAsia" w:ascii="宋体" w:hAnsi="宋体" w:eastAsia="宋体" w:cs="宋体"/>
                <w:sz w:val="22"/>
                <w:szCs w:val="22"/>
                <w:lang w:eastAsia="zh-CN"/>
              </w:rPr>
              <w:t>市调</w:t>
            </w:r>
            <w:r>
              <w:rPr>
                <w:rFonts w:hint="eastAsia" w:ascii="宋体" w:hAnsi="宋体" w:eastAsia="宋体" w:cs="宋体"/>
                <w:sz w:val="22"/>
                <w:szCs w:val="22"/>
              </w:rPr>
              <w:t>报告试点方案，明确两个产品的核心框架；3. 对接信托公司、房产国企等业界合作单位，确定访谈计划；4. 设计中年群体补充调研问卷与访谈提纲。</w:t>
            </w:r>
          </w:p>
        </w:tc>
        <w:tc>
          <w:tcPr>
            <w:tcW w:w="2046" w:type="dxa"/>
            <w:shd w:val="clear" w:color="auto" w:fill="auto"/>
            <w:vAlign w:val="top"/>
          </w:tcPr>
          <w:p w14:paraId="0F344A13">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完成研究框架优化、业界对接、调研工具设计，衔接</w:t>
            </w:r>
            <w:r>
              <w:rPr>
                <w:rFonts w:hint="eastAsia" w:ascii="宋体" w:hAnsi="宋体" w:eastAsia="宋体" w:cs="宋体"/>
                <w:sz w:val="22"/>
                <w:szCs w:val="22"/>
                <w:lang w:eastAsia="zh-CN"/>
              </w:rPr>
              <w:t>市调报告</w:t>
            </w:r>
            <w:r>
              <w:rPr>
                <w:rFonts w:hint="eastAsia" w:ascii="宋体" w:hAnsi="宋体" w:eastAsia="宋体" w:cs="宋体"/>
                <w:sz w:val="22"/>
                <w:szCs w:val="22"/>
              </w:rPr>
              <w:t>试点方案</w:t>
            </w:r>
          </w:p>
        </w:tc>
      </w:tr>
      <w:tr w14:paraId="4DA5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55" w:type="dxa"/>
            <w:shd w:val="clear" w:color="auto" w:fill="auto"/>
            <w:vAlign w:val="top"/>
          </w:tcPr>
          <w:p w14:paraId="4A436569">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第二阶段：群体调研与业界访谈</w:t>
            </w:r>
          </w:p>
        </w:tc>
        <w:tc>
          <w:tcPr>
            <w:tcW w:w="1328" w:type="dxa"/>
            <w:shd w:val="clear" w:color="auto" w:fill="auto"/>
            <w:vAlign w:val="top"/>
          </w:tcPr>
          <w:p w14:paraId="02B4AB21">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2026年7月-2026年9月（3个月）</w:t>
            </w:r>
          </w:p>
        </w:tc>
        <w:tc>
          <w:tcPr>
            <w:tcW w:w="4883" w:type="dxa"/>
            <w:shd w:val="clear" w:color="auto" w:fill="auto"/>
            <w:vAlign w:val="top"/>
          </w:tcPr>
          <w:p w14:paraId="44008B00">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1. 开展中年群体补充调研，完成有效样本收集与整理；2. 分批次开展业界深度访谈，挖掘产品落地痛点与定价建议；3. 分析两类群体需求差异，形成需求分析报告。</w:t>
            </w:r>
          </w:p>
        </w:tc>
        <w:tc>
          <w:tcPr>
            <w:tcW w:w="2046" w:type="dxa"/>
            <w:shd w:val="clear" w:color="auto" w:fill="auto"/>
            <w:vAlign w:val="top"/>
          </w:tcPr>
          <w:p w14:paraId="02A05968">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完成群体需求深化与业界访谈，明确产品设计与定价的核心依据</w:t>
            </w:r>
          </w:p>
        </w:tc>
      </w:tr>
      <w:tr w14:paraId="4B7D7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55" w:type="dxa"/>
            <w:shd w:val="clear" w:color="auto" w:fill="auto"/>
            <w:vAlign w:val="top"/>
          </w:tcPr>
          <w:p w14:paraId="2BA66AE4">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第三阶段：产品细化与定价测算</w:t>
            </w:r>
          </w:p>
        </w:tc>
        <w:tc>
          <w:tcPr>
            <w:tcW w:w="1328" w:type="dxa"/>
            <w:shd w:val="clear" w:color="auto" w:fill="auto"/>
            <w:vAlign w:val="top"/>
          </w:tcPr>
          <w:p w14:paraId="06923E93">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2026年10月-2026年12月（3个月）</w:t>
            </w:r>
          </w:p>
        </w:tc>
        <w:tc>
          <w:tcPr>
            <w:tcW w:w="4883" w:type="dxa"/>
            <w:shd w:val="clear" w:color="auto" w:fill="auto"/>
            <w:vAlign w:val="top"/>
          </w:tcPr>
          <w:p w14:paraId="72E7BABA">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1. 结合业界建议与群体需求，细化两个产品的核心条款；2. 对接房产评估机构，确定房价估算标准与流程；3. 构建产品定价模型，完成养老金给付测算（类似保费测算）；4. 论证产品落地可行性，修改完善产品方案。</w:t>
            </w:r>
          </w:p>
        </w:tc>
        <w:tc>
          <w:tcPr>
            <w:tcW w:w="2046" w:type="dxa"/>
            <w:shd w:val="clear" w:color="auto" w:fill="auto"/>
            <w:vAlign w:val="top"/>
          </w:tcPr>
          <w:p w14:paraId="62FB077E">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完成产品条款细化、定价测算，形成可落地的产品方案与定价手册</w:t>
            </w:r>
          </w:p>
        </w:tc>
      </w:tr>
      <w:tr w14:paraId="3822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55" w:type="dxa"/>
            <w:shd w:val="clear" w:color="auto" w:fill="auto"/>
            <w:vAlign w:val="top"/>
          </w:tcPr>
          <w:p w14:paraId="6785DF09">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第四阶段：成果凝练与结题准备</w:t>
            </w:r>
          </w:p>
        </w:tc>
        <w:tc>
          <w:tcPr>
            <w:tcW w:w="1328" w:type="dxa"/>
            <w:shd w:val="clear" w:color="auto" w:fill="auto"/>
            <w:vAlign w:val="top"/>
          </w:tcPr>
          <w:p w14:paraId="5CAAB053">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2027年1月-2027年4月（4个月）</w:t>
            </w:r>
          </w:p>
        </w:tc>
        <w:tc>
          <w:tcPr>
            <w:tcW w:w="4883" w:type="dxa"/>
            <w:shd w:val="clear" w:color="auto" w:fill="auto"/>
            <w:vAlign w:val="top"/>
          </w:tcPr>
          <w:p w14:paraId="0E7EECB3">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1. 撰写《信托型以房养老产品落地可行性研究报告》《产品实操手册》《定价测算手册》；2. 完成学术论文撰写与投稿，整理调研成果；3. 准备结题材料、答辩PPT，完成项目结题与成果鉴定。</w:t>
            </w:r>
          </w:p>
        </w:tc>
        <w:tc>
          <w:tcPr>
            <w:tcW w:w="2046" w:type="dxa"/>
            <w:shd w:val="clear" w:color="auto" w:fill="auto"/>
            <w:vAlign w:val="top"/>
          </w:tcPr>
          <w:p w14:paraId="2437FBF8">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完成所有研究成果凝练，顺利通过项目结题与成果鉴定，形成可推广的产品成果</w:t>
            </w:r>
          </w:p>
        </w:tc>
      </w:tr>
      <w:tr w14:paraId="07D6F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155" w:type="dxa"/>
            <w:shd w:val="clear" w:color="auto" w:fill="auto"/>
            <w:vAlign w:val="top"/>
          </w:tcPr>
          <w:p w14:paraId="4F7188F1">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第五阶段：成果推广与试点对接</w:t>
            </w:r>
          </w:p>
        </w:tc>
        <w:tc>
          <w:tcPr>
            <w:tcW w:w="1328" w:type="dxa"/>
            <w:shd w:val="clear" w:color="auto" w:fill="auto"/>
            <w:vAlign w:val="top"/>
          </w:tcPr>
          <w:p w14:paraId="074F55BE">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2027年5月-2027年7月（3个月）</w:t>
            </w:r>
          </w:p>
        </w:tc>
        <w:tc>
          <w:tcPr>
            <w:tcW w:w="4883" w:type="dxa"/>
            <w:shd w:val="clear" w:color="auto" w:fill="auto"/>
            <w:vAlign w:val="top"/>
          </w:tcPr>
          <w:p w14:paraId="490A2722">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1. 向业界推送产品实操手册、定价手册，对接试点合作单位；2. 参与养老金融学术交流，推广项目研究成果；3. 协助合作单位开展产品试点前期准备工作。</w:t>
            </w:r>
          </w:p>
        </w:tc>
        <w:tc>
          <w:tcPr>
            <w:tcW w:w="2046" w:type="dxa"/>
            <w:shd w:val="clear" w:color="auto" w:fill="auto"/>
            <w:vAlign w:val="top"/>
          </w:tcPr>
          <w:p w14:paraId="3CBBCD69">
            <w:pPr>
              <w:keepNext/>
              <w:snapToGrid w:val="0"/>
              <w:spacing w:before="120" w:after="120" w:line="288" w:lineRule="auto"/>
              <w:ind w:left="0" w:leftChars="0"/>
              <w:jc w:val="left"/>
              <w:rPr>
                <w:rFonts w:hint="eastAsia" w:ascii="宋体" w:hAnsi="宋体" w:eastAsia="宋体" w:cs="宋体"/>
                <w:kern w:val="2"/>
                <w:sz w:val="22"/>
                <w:szCs w:val="22"/>
                <w:lang w:val="en-US" w:eastAsia="zh-CN" w:bidi="ar-SA"/>
              </w:rPr>
            </w:pPr>
            <w:r>
              <w:rPr>
                <w:rFonts w:hint="eastAsia" w:ascii="宋体" w:hAnsi="宋体" w:eastAsia="宋体" w:cs="宋体"/>
                <w:sz w:val="22"/>
                <w:szCs w:val="22"/>
              </w:rPr>
              <w:t>实现研究成果落地应用与试点对接，发挥实践价值，助力产品推广</w:t>
            </w:r>
          </w:p>
        </w:tc>
      </w:tr>
    </w:tbl>
    <w:p w14:paraId="7F36DF05">
      <w:pPr>
        <w:spacing w:before="240"/>
        <w:rPr>
          <w:rFonts w:eastAsia="黑体"/>
          <w:b/>
          <w:sz w:val="28"/>
        </w:rPr>
      </w:pPr>
      <w:r>
        <w:rPr>
          <w:rFonts w:hint="eastAsia" w:eastAsia="黑体"/>
          <w:b/>
          <w:sz w:val="28"/>
        </w:rPr>
        <w:t>六</w:t>
      </w:r>
      <w:r>
        <w:rPr>
          <w:rFonts w:eastAsia="黑体"/>
          <w:b/>
          <w:sz w:val="28"/>
        </w:rPr>
        <w:t>、</w:t>
      </w:r>
      <w:r>
        <w:rPr>
          <w:rFonts w:hint="eastAsia" w:eastAsia="黑体"/>
          <w:b/>
          <w:bCs/>
          <w:sz w:val="28"/>
        </w:rPr>
        <w:t>项目预期成果</w:t>
      </w:r>
    </w:p>
    <w:tbl>
      <w:tblPr>
        <w:tblStyle w:val="8"/>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634"/>
      </w:tblGrid>
      <w:tr w14:paraId="1E75EE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4" w:hRule="atLeast"/>
        </w:trPr>
        <w:tc>
          <w:tcPr>
            <w:tcW w:w="9634" w:type="dxa"/>
          </w:tcPr>
          <w:p w14:paraId="17750369">
            <w:pPr>
              <w:spacing w:before="120" w:after="120" w:line="288" w:lineRule="auto"/>
              <w:ind w:left="0"/>
              <w:jc w:val="left"/>
              <w:rPr>
                <w:rFonts w:hint="eastAsia" w:ascii="宋体" w:hAnsi="宋体" w:eastAsia="宋体" w:cs="宋体"/>
                <w:sz w:val="24"/>
                <w:szCs w:val="24"/>
              </w:rPr>
            </w:pPr>
            <w:r>
              <w:rPr>
                <w:rFonts w:hint="eastAsia" w:ascii="宋体" w:hAnsi="宋体" w:eastAsia="宋体" w:cs="宋体"/>
                <w:sz w:val="22"/>
              </w:rPr>
              <w:t>撰写《全国信托型以房养老可行性研究报告》</w:t>
            </w:r>
          </w:p>
        </w:tc>
      </w:tr>
    </w:tbl>
    <w:p w14:paraId="483817B6">
      <w:pPr>
        <w:rPr>
          <w:rFonts w:hint="eastAsia" w:eastAsia="黑体"/>
          <w:b/>
          <w:sz w:val="28"/>
        </w:rPr>
      </w:pPr>
      <w:r>
        <w:rPr>
          <w:rFonts w:hint="eastAsia" w:eastAsia="黑体"/>
          <w:b/>
          <w:sz w:val="28"/>
        </w:rPr>
        <w:br w:type="page"/>
      </w:r>
    </w:p>
    <w:p w14:paraId="2D39B373">
      <w:pPr>
        <w:widowControl/>
        <w:jc w:val="left"/>
        <w:rPr>
          <w:rFonts w:ascii="华文楷体" w:hAnsi="华文楷体" w:eastAsia="华文楷体"/>
          <w:sz w:val="28"/>
          <w:szCs w:val="28"/>
        </w:rPr>
      </w:pPr>
      <w:r>
        <w:rPr>
          <w:rFonts w:hint="eastAsia" w:eastAsia="黑体"/>
          <w:b/>
          <w:sz w:val="28"/>
        </w:rPr>
        <w:t>七、项目指导教师情况</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5"/>
        <w:gridCol w:w="876"/>
        <w:gridCol w:w="1196"/>
        <w:gridCol w:w="1683"/>
        <w:gridCol w:w="1678"/>
        <w:gridCol w:w="2976"/>
      </w:tblGrid>
      <w:tr w14:paraId="3A9B3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45" w:type="dxa"/>
          </w:tcPr>
          <w:p w14:paraId="0433F438">
            <w:pPr>
              <w:spacing w:before="240"/>
              <w:jc w:val="center"/>
              <w:rPr>
                <w:rFonts w:ascii="仿宋" w:hAnsi="仿宋" w:eastAsia="仿宋"/>
                <w:bCs/>
                <w:sz w:val="24"/>
                <w:szCs w:val="24"/>
              </w:rPr>
            </w:pPr>
            <w:r>
              <w:rPr>
                <w:rFonts w:hint="eastAsia" w:ascii="仿宋" w:hAnsi="仿宋" w:eastAsia="仿宋"/>
                <w:bCs/>
                <w:sz w:val="24"/>
                <w:szCs w:val="24"/>
              </w:rPr>
              <w:t>姓名</w:t>
            </w:r>
          </w:p>
        </w:tc>
        <w:tc>
          <w:tcPr>
            <w:tcW w:w="876" w:type="dxa"/>
          </w:tcPr>
          <w:p w14:paraId="582CC02A">
            <w:pPr>
              <w:spacing w:before="240"/>
              <w:jc w:val="center"/>
              <w:rPr>
                <w:rFonts w:ascii="仿宋" w:hAnsi="仿宋" w:eastAsia="仿宋"/>
                <w:bCs/>
                <w:sz w:val="24"/>
                <w:szCs w:val="24"/>
              </w:rPr>
            </w:pPr>
            <w:r>
              <w:rPr>
                <w:rFonts w:hint="eastAsia" w:ascii="仿宋" w:hAnsi="仿宋" w:eastAsia="仿宋"/>
                <w:bCs/>
                <w:sz w:val="24"/>
                <w:szCs w:val="24"/>
              </w:rPr>
              <w:t>性别</w:t>
            </w:r>
          </w:p>
        </w:tc>
        <w:tc>
          <w:tcPr>
            <w:tcW w:w="1196" w:type="dxa"/>
          </w:tcPr>
          <w:p w14:paraId="47D4F176">
            <w:pPr>
              <w:spacing w:before="240"/>
              <w:jc w:val="center"/>
              <w:rPr>
                <w:rFonts w:ascii="仿宋" w:hAnsi="仿宋" w:eastAsia="仿宋"/>
                <w:bCs/>
                <w:sz w:val="24"/>
                <w:szCs w:val="24"/>
              </w:rPr>
            </w:pPr>
            <w:r>
              <w:rPr>
                <w:rFonts w:hint="eastAsia" w:ascii="仿宋" w:hAnsi="仿宋" w:eastAsia="仿宋"/>
                <w:bCs/>
                <w:sz w:val="24"/>
                <w:szCs w:val="24"/>
              </w:rPr>
              <w:t>职称</w:t>
            </w:r>
          </w:p>
        </w:tc>
        <w:tc>
          <w:tcPr>
            <w:tcW w:w="1683" w:type="dxa"/>
          </w:tcPr>
          <w:p w14:paraId="4F400C6A">
            <w:pPr>
              <w:spacing w:before="240"/>
              <w:jc w:val="center"/>
              <w:rPr>
                <w:rFonts w:ascii="仿宋" w:hAnsi="仿宋" w:eastAsia="仿宋"/>
                <w:bCs/>
                <w:sz w:val="24"/>
                <w:szCs w:val="24"/>
              </w:rPr>
            </w:pPr>
            <w:r>
              <w:rPr>
                <w:rFonts w:hint="eastAsia" w:ascii="仿宋" w:hAnsi="仿宋" w:eastAsia="仿宋"/>
                <w:bCs/>
                <w:sz w:val="24"/>
                <w:szCs w:val="24"/>
              </w:rPr>
              <w:t>研究方向</w:t>
            </w:r>
          </w:p>
        </w:tc>
        <w:tc>
          <w:tcPr>
            <w:tcW w:w="1678" w:type="dxa"/>
          </w:tcPr>
          <w:p w14:paraId="67292276">
            <w:pPr>
              <w:spacing w:before="240"/>
              <w:jc w:val="center"/>
              <w:rPr>
                <w:rFonts w:ascii="仿宋" w:hAnsi="仿宋" w:eastAsia="仿宋"/>
                <w:bCs/>
                <w:sz w:val="24"/>
                <w:szCs w:val="24"/>
              </w:rPr>
            </w:pPr>
            <w:r>
              <w:rPr>
                <w:rFonts w:hint="eastAsia" w:ascii="仿宋" w:hAnsi="仿宋" w:eastAsia="仿宋"/>
                <w:bCs/>
                <w:sz w:val="24"/>
                <w:szCs w:val="24"/>
              </w:rPr>
              <w:t>手机</w:t>
            </w:r>
          </w:p>
        </w:tc>
        <w:tc>
          <w:tcPr>
            <w:tcW w:w="2976" w:type="dxa"/>
          </w:tcPr>
          <w:p w14:paraId="301BEE8C">
            <w:pPr>
              <w:spacing w:before="240"/>
              <w:jc w:val="center"/>
              <w:rPr>
                <w:rFonts w:ascii="仿宋" w:hAnsi="仿宋" w:eastAsia="仿宋"/>
                <w:bCs/>
                <w:sz w:val="24"/>
                <w:szCs w:val="24"/>
              </w:rPr>
            </w:pPr>
            <w:r>
              <w:rPr>
                <w:rFonts w:hint="eastAsia" w:ascii="仿宋" w:hAnsi="仿宋" w:eastAsia="仿宋"/>
                <w:bCs/>
                <w:sz w:val="24"/>
                <w:szCs w:val="24"/>
              </w:rPr>
              <w:t>E</w:t>
            </w:r>
            <w:r>
              <w:rPr>
                <w:rFonts w:ascii="仿宋" w:hAnsi="仿宋" w:eastAsia="仿宋"/>
                <w:bCs/>
                <w:sz w:val="24"/>
                <w:szCs w:val="24"/>
              </w:rPr>
              <w:t>-mail</w:t>
            </w:r>
          </w:p>
        </w:tc>
      </w:tr>
      <w:tr w14:paraId="4B163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104E10BC">
            <w:pPr>
              <w:spacing w:before="240"/>
              <w:ind w:left="0" w:leftChars="0" w:right="0" w:rightChars="0" w:firstLine="0" w:firstLineChars="0"/>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路锦非</w:t>
            </w:r>
          </w:p>
        </w:tc>
        <w:tc>
          <w:tcPr>
            <w:tcW w:w="876" w:type="dxa"/>
          </w:tcPr>
          <w:p w14:paraId="1DE4C25B">
            <w:pPr>
              <w:spacing w:before="240"/>
              <w:ind w:left="0" w:leftChars="0" w:right="0" w:rightChars="0" w:firstLine="0" w:firstLineChars="0"/>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女</w:t>
            </w:r>
          </w:p>
        </w:tc>
        <w:tc>
          <w:tcPr>
            <w:tcW w:w="1196" w:type="dxa"/>
          </w:tcPr>
          <w:p w14:paraId="6C00F087">
            <w:pPr>
              <w:spacing w:before="240"/>
              <w:ind w:left="0" w:leftChars="0" w:right="0" w:rightChars="0" w:firstLine="0" w:firstLineChars="0"/>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副院长、教授</w:t>
            </w:r>
          </w:p>
        </w:tc>
        <w:tc>
          <w:tcPr>
            <w:tcW w:w="1683" w:type="dxa"/>
          </w:tcPr>
          <w:p w14:paraId="7B185237">
            <w:pPr>
              <w:spacing w:before="240"/>
              <w:ind w:left="0" w:leftChars="0" w:right="0" w:rightChars="0" w:firstLine="0" w:firstLineChars="0"/>
              <w:jc w:val="center"/>
              <w:rPr>
                <w:rFonts w:hint="eastAsia" w:ascii="仿宋" w:hAnsi="仿宋" w:eastAsia="仿宋" w:cs="仿宋"/>
                <w:b w:val="0"/>
                <w:bCs/>
                <w:sz w:val="24"/>
                <w:szCs w:val="24"/>
              </w:rPr>
            </w:pPr>
            <w:r>
              <w:rPr>
                <w:rFonts w:hint="eastAsia" w:ascii="仿宋" w:hAnsi="仿宋" w:eastAsia="仿宋" w:cs="仿宋"/>
                <w:b w:val="0"/>
                <w:bCs/>
                <w:sz w:val="24"/>
                <w:szCs w:val="24"/>
              </w:rPr>
              <w:t>养老金融与养老规划、社会保障基金管理、人口经济学、社会保障政策</w:t>
            </w:r>
          </w:p>
        </w:tc>
        <w:tc>
          <w:tcPr>
            <w:tcW w:w="1678" w:type="dxa"/>
          </w:tcPr>
          <w:p w14:paraId="6F170CD3">
            <w:pPr>
              <w:spacing w:before="240"/>
              <w:ind w:left="0" w:leftChars="0" w:right="0" w:rightChars="0" w:firstLine="0" w:firstLineChars="0"/>
              <w:jc w:val="center"/>
              <w:rPr>
                <w:rFonts w:hint="eastAsia" w:ascii="仿宋" w:hAnsi="仿宋" w:eastAsia="仿宋" w:cs="仿宋"/>
                <w:b w:val="0"/>
                <w:bCs/>
                <w:sz w:val="24"/>
                <w:szCs w:val="24"/>
              </w:rPr>
            </w:pPr>
            <w:r>
              <w:rPr>
                <w:rFonts w:hint="eastAsia" w:ascii="仿宋" w:hAnsi="仿宋" w:eastAsia="仿宋" w:cs="仿宋"/>
                <w:b w:val="0"/>
                <w:bCs/>
                <w:sz w:val="24"/>
                <w:szCs w:val="24"/>
              </w:rPr>
              <w:t>6223 8737</w:t>
            </w:r>
          </w:p>
        </w:tc>
        <w:tc>
          <w:tcPr>
            <w:tcW w:w="2976" w:type="dxa"/>
          </w:tcPr>
          <w:p w14:paraId="6253FCCD">
            <w:pPr>
              <w:spacing w:before="240"/>
              <w:ind w:left="0" w:leftChars="0" w:right="0" w:rightChars="0" w:firstLine="0" w:firstLineChars="0"/>
              <w:jc w:val="center"/>
              <w:rPr>
                <w:rFonts w:hint="eastAsia" w:ascii="仿宋" w:hAnsi="仿宋" w:eastAsia="仿宋" w:cs="仿宋"/>
                <w:b w:val="0"/>
                <w:bCs/>
                <w:sz w:val="24"/>
                <w:szCs w:val="24"/>
              </w:rPr>
            </w:pPr>
            <w:r>
              <w:rPr>
                <w:rFonts w:hint="eastAsia" w:ascii="仿宋" w:hAnsi="仿宋" w:eastAsia="仿宋" w:cs="仿宋"/>
                <w:b w:val="0"/>
                <w:bCs/>
                <w:sz w:val="24"/>
                <w:szCs w:val="24"/>
              </w:rPr>
              <w:t>jflu@sem.ecnu.edu.cn</w:t>
            </w:r>
          </w:p>
        </w:tc>
      </w:tr>
      <w:tr w14:paraId="7C088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1472E715">
            <w:pPr>
              <w:spacing w:before="240"/>
              <w:ind w:left="0" w:leftChars="0" w:right="0" w:rightChars="0" w:firstLine="0" w:firstLineChars="0"/>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陈力闻</w:t>
            </w:r>
          </w:p>
        </w:tc>
        <w:tc>
          <w:tcPr>
            <w:tcW w:w="876" w:type="dxa"/>
          </w:tcPr>
          <w:p w14:paraId="65486E03">
            <w:pPr>
              <w:spacing w:before="240"/>
              <w:ind w:left="0" w:leftChars="0" w:right="0" w:rightChars="0" w:firstLine="0" w:firstLineChars="0"/>
              <w:jc w:val="center"/>
              <w:rPr>
                <w:rFonts w:hint="eastAsia"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女</w:t>
            </w:r>
          </w:p>
        </w:tc>
        <w:tc>
          <w:tcPr>
            <w:tcW w:w="1196" w:type="dxa"/>
          </w:tcPr>
          <w:p w14:paraId="7C4361D7">
            <w:pPr>
              <w:spacing w:before="240"/>
              <w:ind w:left="0" w:leftChars="0" w:right="0" w:rightChars="0" w:firstLine="0" w:firstLineChars="0"/>
              <w:jc w:val="center"/>
              <w:rPr>
                <w:rFonts w:hint="default" w:ascii="仿宋" w:hAnsi="仿宋" w:eastAsia="仿宋" w:cs="仿宋"/>
                <w:b w:val="0"/>
                <w:bCs/>
                <w:sz w:val="24"/>
                <w:szCs w:val="24"/>
                <w:lang w:val="en-US" w:eastAsia="zh-CN"/>
              </w:rPr>
            </w:pPr>
            <w:r>
              <w:rPr>
                <w:rFonts w:hint="eastAsia" w:ascii="仿宋" w:hAnsi="仿宋" w:eastAsia="仿宋" w:cs="仿宋"/>
                <w:b w:val="0"/>
                <w:bCs/>
                <w:sz w:val="24"/>
                <w:szCs w:val="24"/>
                <w:lang w:val="en-US" w:eastAsia="zh-CN"/>
              </w:rPr>
              <w:t>副教授</w:t>
            </w:r>
          </w:p>
        </w:tc>
        <w:tc>
          <w:tcPr>
            <w:tcW w:w="1683" w:type="dxa"/>
          </w:tcPr>
          <w:p w14:paraId="0EDF692E">
            <w:pPr>
              <w:spacing w:before="240"/>
              <w:ind w:left="0" w:leftChars="0" w:right="0" w:rightChars="0" w:firstLine="0" w:firstLineChars="0"/>
              <w:jc w:val="center"/>
              <w:rPr>
                <w:rFonts w:hint="eastAsia" w:ascii="仿宋" w:hAnsi="仿宋" w:eastAsia="仿宋" w:cs="仿宋"/>
                <w:b w:val="0"/>
                <w:bCs/>
                <w:sz w:val="24"/>
                <w:szCs w:val="24"/>
              </w:rPr>
            </w:pPr>
            <w:r>
              <w:rPr>
                <w:rFonts w:hint="eastAsia" w:ascii="仿宋" w:hAnsi="仿宋" w:eastAsia="仿宋" w:cs="仿宋"/>
                <w:b w:val="0"/>
                <w:bCs/>
                <w:sz w:val="24"/>
                <w:szCs w:val="24"/>
              </w:rPr>
              <w:t>人力资源管理与劳动经济学</w:t>
            </w:r>
          </w:p>
        </w:tc>
        <w:tc>
          <w:tcPr>
            <w:tcW w:w="1678" w:type="dxa"/>
          </w:tcPr>
          <w:p w14:paraId="304052F7">
            <w:pPr>
              <w:spacing w:before="240"/>
              <w:ind w:left="0" w:leftChars="0" w:right="0" w:rightChars="0" w:firstLine="0" w:firstLineChars="0"/>
              <w:jc w:val="center"/>
              <w:rPr>
                <w:rFonts w:hint="eastAsia" w:ascii="仿宋" w:hAnsi="仿宋" w:eastAsia="仿宋" w:cs="仿宋"/>
                <w:b w:val="0"/>
                <w:bCs/>
                <w:sz w:val="24"/>
                <w:szCs w:val="24"/>
              </w:rPr>
            </w:pPr>
            <w:r>
              <w:rPr>
                <w:rFonts w:hint="eastAsia" w:ascii="仿宋" w:hAnsi="仿宋" w:eastAsia="仿宋" w:cs="仿宋"/>
                <w:b w:val="0"/>
                <w:bCs/>
                <w:sz w:val="24"/>
                <w:szCs w:val="24"/>
              </w:rPr>
              <w:t>18019161682</w:t>
            </w:r>
          </w:p>
        </w:tc>
        <w:tc>
          <w:tcPr>
            <w:tcW w:w="2976" w:type="dxa"/>
          </w:tcPr>
          <w:p w14:paraId="1EE5B2B8">
            <w:pPr>
              <w:spacing w:before="240"/>
              <w:ind w:left="0" w:leftChars="0" w:right="0" w:rightChars="0" w:firstLine="0" w:firstLineChars="0"/>
              <w:jc w:val="center"/>
              <w:rPr>
                <w:rFonts w:hint="eastAsia" w:ascii="仿宋" w:hAnsi="仿宋" w:eastAsia="仿宋" w:cs="仿宋"/>
                <w:b w:val="0"/>
                <w:bCs/>
                <w:sz w:val="24"/>
                <w:szCs w:val="24"/>
              </w:rPr>
            </w:pPr>
            <w:r>
              <w:rPr>
                <w:rFonts w:hint="eastAsia" w:ascii="仿宋" w:hAnsi="仿宋" w:eastAsia="仿宋" w:cs="仿宋"/>
                <w:b w:val="0"/>
                <w:bCs/>
                <w:sz w:val="24"/>
                <w:szCs w:val="24"/>
              </w:rPr>
              <w:t>lwchen@fem.ecnu.edu.cn</w:t>
            </w:r>
          </w:p>
        </w:tc>
      </w:tr>
    </w:tbl>
    <w:p w14:paraId="075DD5A9">
      <w:pPr>
        <w:spacing w:before="240"/>
        <w:rPr>
          <w:rFonts w:eastAsia="黑体"/>
          <w:b/>
          <w:bCs/>
          <w:sz w:val="28"/>
        </w:rPr>
      </w:pPr>
      <w:r>
        <w:rPr>
          <w:rFonts w:hint="eastAsia" w:eastAsia="黑体"/>
          <w:b/>
          <w:sz w:val="28"/>
        </w:rPr>
        <w:t>八</w:t>
      </w:r>
      <w:r>
        <w:rPr>
          <w:rFonts w:eastAsia="黑体"/>
          <w:b/>
          <w:sz w:val="28"/>
        </w:rPr>
        <w:t>、</w:t>
      </w:r>
      <w:r>
        <w:rPr>
          <w:rFonts w:hint="eastAsia" w:eastAsia="黑体"/>
          <w:b/>
          <w:bCs/>
          <w:sz w:val="28"/>
        </w:rPr>
        <w:t>项目组成员</w:t>
      </w:r>
    </w:p>
    <w:tbl>
      <w:tblPr>
        <w:tblStyle w:val="9"/>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2"/>
        <w:gridCol w:w="1600"/>
        <w:gridCol w:w="1087"/>
        <w:gridCol w:w="1413"/>
        <w:gridCol w:w="3311"/>
        <w:gridCol w:w="1191"/>
      </w:tblGrid>
      <w:tr w14:paraId="0B13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trPr>
        <w:tc>
          <w:tcPr>
            <w:tcW w:w="1032" w:type="dxa"/>
            <w:vAlign w:val="center"/>
          </w:tcPr>
          <w:p w14:paraId="426D0036">
            <w:pPr>
              <w:spacing w:before="240"/>
              <w:jc w:val="center"/>
              <w:rPr>
                <w:rFonts w:ascii="仿宋" w:hAnsi="仿宋" w:eastAsia="仿宋"/>
                <w:sz w:val="24"/>
                <w:szCs w:val="18"/>
              </w:rPr>
            </w:pPr>
            <w:r>
              <w:rPr>
                <w:rFonts w:hint="eastAsia" w:ascii="仿宋" w:hAnsi="仿宋" w:eastAsia="仿宋"/>
                <w:sz w:val="24"/>
                <w:szCs w:val="18"/>
              </w:rPr>
              <w:t>姓名</w:t>
            </w:r>
          </w:p>
        </w:tc>
        <w:tc>
          <w:tcPr>
            <w:tcW w:w="1600" w:type="dxa"/>
            <w:vAlign w:val="center"/>
          </w:tcPr>
          <w:p w14:paraId="6AADEBFC">
            <w:pPr>
              <w:spacing w:before="240"/>
              <w:jc w:val="center"/>
              <w:rPr>
                <w:rFonts w:ascii="仿宋" w:hAnsi="仿宋" w:eastAsia="仿宋"/>
                <w:sz w:val="24"/>
                <w:szCs w:val="18"/>
              </w:rPr>
            </w:pPr>
            <w:r>
              <w:rPr>
                <w:rFonts w:hint="eastAsia" w:ascii="仿宋" w:hAnsi="仿宋" w:eastAsia="仿宋"/>
                <w:sz w:val="24"/>
                <w:szCs w:val="18"/>
              </w:rPr>
              <w:t>学号</w:t>
            </w:r>
          </w:p>
        </w:tc>
        <w:tc>
          <w:tcPr>
            <w:tcW w:w="1087" w:type="dxa"/>
            <w:vAlign w:val="center"/>
          </w:tcPr>
          <w:p w14:paraId="2D43109E">
            <w:pPr>
              <w:spacing w:before="240"/>
              <w:jc w:val="center"/>
              <w:rPr>
                <w:rFonts w:ascii="仿宋" w:hAnsi="仿宋" w:eastAsia="仿宋"/>
                <w:sz w:val="24"/>
                <w:szCs w:val="18"/>
              </w:rPr>
            </w:pPr>
            <w:r>
              <w:rPr>
                <w:rFonts w:hint="eastAsia" w:ascii="仿宋" w:hAnsi="仿宋" w:eastAsia="仿宋"/>
                <w:sz w:val="24"/>
                <w:szCs w:val="18"/>
              </w:rPr>
              <w:t>年级</w:t>
            </w:r>
          </w:p>
        </w:tc>
        <w:tc>
          <w:tcPr>
            <w:tcW w:w="1413" w:type="dxa"/>
            <w:vAlign w:val="center"/>
          </w:tcPr>
          <w:p w14:paraId="00E150B9">
            <w:pPr>
              <w:spacing w:before="240"/>
              <w:jc w:val="center"/>
              <w:rPr>
                <w:rFonts w:ascii="仿宋" w:hAnsi="仿宋" w:eastAsia="仿宋"/>
                <w:sz w:val="24"/>
                <w:szCs w:val="18"/>
              </w:rPr>
            </w:pPr>
            <w:r>
              <w:rPr>
                <w:rFonts w:hint="eastAsia" w:ascii="仿宋" w:hAnsi="仿宋" w:eastAsia="仿宋"/>
                <w:sz w:val="24"/>
                <w:szCs w:val="18"/>
              </w:rPr>
              <w:t>专业</w:t>
            </w:r>
          </w:p>
        </w:tc>
        <w:tc>
          <w:tcPr>
            <w:tcW w:w="3311" w:type="dxa"/>
            <w:vAlign w:val="center"/>
          </w:tcPr>
          <w:p w14:paraId="5EE27C15">
            <w:pPr>
              <w:spacing w:before="240"/>
              <w:jc w:val="center"/>
              <w:rPr>
                <w:rFonts w:ascii="仿宋" w:hAnsi="仿宋" w:eastAsia="仿宋"/>
                <w:sz w:val="24"/>
                <w:szCs w:val="18"/>
              </w:rPr>
            </w:pPr>
            <w:r>
              <w:rPr>
                <w:rFonts w:hint="eastAsia" w:ascii="仿宋" w:hAnsi="仿宋" w:eastAsia="仿宋"/>
                <w:sz w:val="24"/>
                <w:szCs w:val="18"/>
              </w:rPr>
              <w:t>项目研究中承担主要任务</w:t>
            </w:r>
          </w:p>
        </w:tc>
        <w:tc>
          <w:tcPr>
            <w:tcW w:w="1191" w:type="dxa"/>
            <w:vAlign w:val="center"/>
          </w:tcPr>
          <w:p w14:paraId="31BF1848">
            <w:pPr>
              <w:spacing w:before="240"/>
              <w:jc w:val="center"/>
              <w:rPr>
                <w:rFonts w:ascii="仿宋" w:hAnsi="仿宋" w:eastAsia="仿宋"/>
                <w:sz w:val="24"/>
                <w:szCs w:val="18"/>
              </w:rPr>
            </w:pPr>
            <w:r>
              <w:rPr>
                <w:rFonts w:hint="eastAsia" w:ascii="仿宋" w:hAnsi="仿宋" w:eastAsia="仿宋"/>
                <w:sz w:val="24"/>
                <w:szCs w:val="18"/>
              </w:rPr>
              <w:t>签名</w:t>
            </w:r>
          </w:p>
        </w:tc>
      </w:tr>
      <w:tr w14:paraId="76E46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dxa"/>
          </w:tcPr>
          <w:p w14:paraId="0194AD9D">
            <w:pPr>
              <w:spacing w:before="240"/>
              <w:jc w:val="center"/>
              <w:rPr>
                <w:rFonts w:hint="eastAsia" w:ascii="宋体" w:hAnsi="宋体"/>
                <w:sz w:val="24"/>
                <w:szCs w:val="24"/>
                <w:lang w:val="en-US" w:eastAsia="zh-CN"/>
              </w:rPr>
            </w:pPr>
            <w:r>
              <w:rPr>
                <w:rFonts w:hint="eastAsia" w:ascii="宋体" w:hAnsi="宋体"/>
                <w:sz w:val="24"/>
                <w:szCs w:val="24"/>
                <w:lang w:val="en-US" w:eastAsia="zh-CN"/>
              </w:rPr>
              <w:t>沈妍</w:t>
            </w:r>
          </w:p>
        </w:tc>
        <w:tc>
          <w:tcPr>
            <w:tcW w:w="1600" w:type="dxa"/>
          </w:tcPr>
          <w:p w14:paraId="3FD510E4">
            <w:pPr>
              <w:spacing w:before="240"/>
              <w:jc w:val="center"/>
              <w:rPr>
                <w:rFonts w:hint="default" w:ascii="宋体" w:hAnsi="宋体" w:eastAsia="宋体"/>
                <w:sz w:val="24"/>
                <w:szCs w:val="24"/>
                <w:lang w:val="en-US" w:eastAsia="zh-CN"/>
              </w:rPr>
            </w:pPr>
            <w:r>
              <w:rPr>
                <w:rFonts w:hint="eastAsia" w:ascii="宋体" w:hAnsi="宋体"/>
                <w:sz w:val="24"/>
                <w:szCs w:val="24"/>
                <w:lang w:val="en-US" w:eastAsia="zh-CN"/>
              </w:rPr>
              <w:t>10234800429</w:t>
            </w:r>
          </w:p>
        </w:tc>
        <w:tc>
          <w:tcPr>
            <w:tcW w:w="1087" w:type="dxa"/>
          </w:tcPr>
          <w:p w14:paraId="6BF5BEC9">
            <w:pPr>
              <w:spacing w:before="240"/>
              <w:jc w:val="center"/>
              <w:rPr>
                <w:rFonts w:hint="default" w:ascii="宋体" w:hAnsi="宋体" w:eastAsia="宋体"/>
                <w:sz w:val="24"/>
                <w:szCs w:val="24"/>
                <w:lang w:val="en-US" w:eastAsia="zh-CN"/>
              </w:rPr>
            </w:pPr>
            <w:r>
              <w:rPr>
                <w:rFonts w:hint="eastAsia" w:ascii="宋体" w:hAnsi="宋体"/>
                <w:sz w:val="24"/>
                <w:szCs w:val="24"/>
                <w:lang w:val="en-US" w:eastAsia="zh-CN"/>
              </w:rPr>
              <w:t>2024级</w:t>
            </w:r>
          </w:p>
        </w:tc>
        <w:tc>
          <w:tcPr>
            <w:tcW w:w="1413" w:type="dxa"/>
            <w:vAlign w:val="center"/>
          </w:tcPr>
          <w:p w14:paraId="4DA52705">
            <w:pPr>
              <w:spacing w:before="240"/>
              <w:ind w:left="0" w:leftChars="0" w:right="0" w:rightChars="0" w:firstLine="0" w:firstLineChars="0"/>
              <w:jc w:val="center"/>
              <w:rPr>
                <w:rFonts w:hint="eastAsia" w:ascii="宋体" w:hAnsi="宋体" w:eastAsia="宋体"/>
                <w:sz w:val="24"/>
                <w:szCs w:val="24"/>
                <w:lang w:val="en-US" w:eastAsia="zh-CN"/>
              </w:rPr>
            </w:pPr>
            <w:r>
              <w:rPr>
                <w:rFonts w:hint="eastAsia" w:ascii="宋体" w:hAnsi="宋体" w:cs="Times New Roman"/>
                <w:sz w:val="24"/>
                <w:szCs w:val="24"/>
                <w:lang w:val="en-US" w:eastAsia="zh-CN"/>
              </w:rPr>
              <w:t>统计学</w:t>
            </w:r>
          </w:p>
        </w:tc>
        <w:tc>
          <w:tcPr>
            <w:tcW w:w="3311" w:type="dxa"/>
            <w:shd w:val="clear" w:color="auto" w:fill="auto"/>
            <w:vAlign w:val="center"/>
          </w:tcPr>
          <w:p w14:paraId="155867D0">
            <w:pPr>
              <w:keepNext w:val="0"/>
              <w:keepLines w:val="0"/>
              <w:widowControl w:val="0"/>
              <w:suppressLineNumbers w:val="0"/>
              <w:spacing w:before="0" w:beforeAutospacing="0" w:after="0" w:afterAutospacing="0"/>
              <w:ind w:left="0" w:right="0"/>
              <w:jc w:val="left"/>
              <w:rPr>
                <w:rFonts w:hint="default" w:ascii="宋体" w:hAnsi="宋体" w:eastAsia="宋体" w:cs="宋体"/>
                <w:b w:val="0"/>
                <w:bCs/>
                <w:kern w:val="2"/>
                <w:sz w:val="24"/>
                <w:szCs w:val="20"/>
                <w:lang w:val="en-US" w:eastAsia="zh-CN" w:bidi="ar-SA"/>
              </w:rPr>
            </w:pPr>
            <w:r>
              <w:rPr>
                <w:rFonts w:ascii="宋体" w:hAnsi="宋体" w:eastAsia="宋体" w:cs="宋体"/>
                <w:kern w:val="0"/>
                <w:sz w:val="24"/>
                <w:szCs w:val="24"/>
                <w:lang w:val="en-US" w:eastAsia="zh-CN" w:bidi="ar"/>
              </w:rPr>
              <w:t>统筹项目整体推进，制定研究方案与进度计划，主导数据分析、定价模型构建与测算工作</w:t>
            </w:r>
            <w:r>
              <w:rPr>
                <w:rFonts w:hint="eastAsia" w:ascii="宋体" w:hAnsi="宋体" w:cs="宋体"/>
                <w:kern w:val="0"/>
                <w:sz w:val="24"/>
                <w:szCs w:val="24"/>
                <w:lang w:val="en-US" w:eastAsia="zh-CN" w:bidi="ar"/>
              </w:rPr>
              <w:t>，辅助实地调研</w:t>
            </w:r>
          </w:p>
        </w:tc>
        <w:tc>
          <w:tcPr>
            <w:tcW w:w="1191" w:type="dxa"/>
          </w:tcPr>
          <w:p w14:paraId="721DA8DF">
            <w:pPr>
              <w:spacing w:before="240"/>
              <w:rPr>
                <w:rFonts w:hint="eastAsia" w:eastAsia="黑体"/>
                <w:b/>
                <w:bCs/>
                <w:sz w:val="28"/>
                <w:lang w:eastAsia="zh-CN"/>
              </w:rPr>
            </w:pPr>
            <w:r>
              <w:rPr>
                <w:rFonts w:hint="eastAsia" w:eastAsia="黑体"/>
                <w:b/>
                <w:bCs/>
                <w:sz w:val="28"/>
                <w:lang w:eastAsia="zh-CN"/>
              </w:rPr>
              <w:drawing>
                <wp:inline distT="0" distB="0" distL="114300" distR="114300">
                  <wp:extent cx="619125" cy="380365"/>
                  <wp:effectExtent l="0" t="0" r="0" b="635"/>
                  <wp:docPr id="3" name="图片 3" descr="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电子签名"/>
                          <pic:cNvPicPr>
                            <a:picLocks noChangeAspect="1"/>
                          </pic:cNvPicPr>
                        </pic:nvPicPr>
                        <pic:blipFill>
                          <a:blip r:embed="rId8"/>
                          <a:stretch>
                            <a:fillRect/>
                          </a:stretch>
                        </pic:blipFill>
                        <pic:spPr>
                          <a:xfrm>
                            <a:off x="0" y="0"/>
                            <a:ext cx="619125" cy="380365"/>
                          </a:xfrm>
                          <a:prstGeom prst="rect">
                            <a:avLst/>
                          </a:prstGeom>
                        </pic:spPr>
                      </pic:pic>
                    </a:graphicData>
                  </a:graphic>
                </wp:inline>
              </w:drawing>
            </w:r>
          </w:p>
        </w:tc>
      </w:tr>
      <w:tr w14:paraId="52FA3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dxa"/>
          </w:tcPr>
          <w:p w14:paraId="3422225E">
            <w:pPr>
              <w:spacing w:before="240"/>
              <w:jc w:val="center"/>
              <w:rPr>
                <w:rFonts w:hint="default" w:ascii="宋体" w:hAnsi="宋体"/>
                <w:sz w:val="24"/>
                <w:szCs w:val="24"/>
                <w:lang w:val="en-US" w:eastAsia="zh-CN"/>
              </w:rPr>
            </w:pPr>
            <w:r>
              <w:rPr>
                <w:rFonts w:hint="default" w:ascii="宋体" w:hAnsi="宋体"/>
                <w:sz w:val="24"/>
                <w:szCs w:val="24"/>
                <w:lang w:val="en-US" w:eastAsia="zh-CN"/>
              </w:rPr>
              <w:t>昝佳禾</w:t>
            </w:r>
          </w:p>
        </w:tc>
        <w:tc>
          <w:tcPr>
            <w:tcW w:w="1600" w:type="dxa"/>
          </w:tcPr>
          <w:p w14:paraId="1C8D43D9">
            <w:pPr>
              <w:spacing w:before="240"/>
              <w:jc w:val="center"/>
              <w:rPr>
                <w:rFonts w:hint="default" w:ascii="宋体" w:hAnsi="宋体" w:eastAsia="宋体"/>
                <w:sz w:val="24"/>
                <w:szCs w:val="24"/>
                <w:lang w:val="en-US" w:eastAsia="zh-CN"/>
              </w:rPr>
            </w:pPr>
            <w:r>
              <w:rPr>
                <w:rFonts w:hint="eastAsia" w:ascii="宋体" w:hAnsi="宋体"/>
                <w:sz w:val="24"/>
                <w:szCs w:val="24"/>
                <w:lang w:val="en-US" w:eastAsia="zh-CN"/>
              </w:rPr>
              <w:t>10244900406</w:t>
            </w:r>
          </w:p>
        </w:tc>
        <w:tc>
          <w:tcPr>
            <w:tcW w:w="1087" w:type="dxa"/>
          </w:tcPr>
          <w:p w14:paraId="72708B2F">
            <w:pPr>
              <w:spacing w:before="240"/>
              <w:jc w:val="center"/>
              <w:rPr>
                <w:rFonts w:hint="eastAsia" w:ascii="宋体" w:hAnsi="宋体"/>
                <w:sz w:val="24"/>
                <w:szCs w:val="24"/>
              </w:rPr>
            </w:pPr>
            <w:r>
              <w:rPr>
                <w:rFonts w:hint="eastAsia" w:ascii="宋体" w:hAnsi="宋体"/>
                <w:sz w:val="24"/>
                <w:szCs w:val="24"/>
                <w:lang w:val="en-US" w:eastAsia="zh-CN"/>
              </w:rPr>
              <w:t>2024级</w:t>
            </w:r>
          </w:p>
        </w:tc>
        <w:tc>
          <w:tcPr>
            <w:tcW w:w="1413" w:type="dxa"/>
            <w:vAlign w:val="center"/>
          </w:tcPr>
          <w:p w14:paraId="6298827B">
            <w:pPr>
              <w:spacing w:before="240"/>
              <w:ind w:left="0" w:leftChars="0" w:right="0" w:rightChars="0" w:firstLine="0" w:firstLineChars="0"/>
              <w:jc w:val="center"/>
              <w:rPr>
                <w:rFonts w:hint="eastAsia" w:ascii="宋体" w:hAnsi="宋体" w:eastAsia="宋体"/>
                <w:sz w:val="24"/>
                <w:szCs w:val="24"/>
                <w:lang w:val="en-US" w:eastAsia="zh-CN"/>
              </w:rPr>
            </w:pPr>
            <w:r>
              <w:rPr>
                <w:rFonts w:hint="eastAsia" w:ascii="宋体" w:hAnsi="宋体"/>
                <w:sz w:val="24"/>
                <w:szCs w:val="24"/>
                <w:lang w:val="en-US" w:eastAsia="zh-CN"/>
              </w:rPr>
              <w:t>行政管理</w:t>
            </w:r>
          </w:p>
        </w:tc>
        <w:tc>
          <w:tcPr>
            <w:tcW w:w="3311" w:type="dxa"/>
            <w:shd w:val="clear" w:color="auto" w:fill="auto"/>
            <w:vAlign w:val="center"/>
          </w:tcPr>
          <w:p w14:paraId="0FD2A4FE">
            <w:pPr>
              <w:keepNext w:val="0"/>
              <w:keepLines w:val="0"/>
              <w:widowControl w:val="0"/>
              <w:suppressLineNumbers w:val="0"/>
              <w:spacing w:before="0" w:beforeAutospacing="0" w:after="0" w:afterAutospacing="0"/>
              <w:ind w:left="0" w:leftChars="0" w:right="0" w:rightChars="0"/>
              <w:jc w:val="left"/>
              <w:rPr>
                <w:rFonts w:hint="default" w:ascii="宋体" w:hAnsi="宋体" w:eastAsia="宋体" w:cs="宋体"/>
                <w:b w:val="0"/>
                <w:bCs/>
                <w:kern w:val="2"/>
                <w:sz w:val="24"/>
                <w:szCs w:val="20"/>
                <w:lang w:val="en-US" w:eastAsia="zh-CN" w:bidi="ar-SA"/>
              </w:rPr>
            </w:pPr>
            <w:r>
              <w:rPr>
                <w:rFonts w:ascii="宋体" w:hAnsi="宋体" w:eastAsia="宋体" w:cs="宋体"/>
                <w:kern w:val="0"/>
                <w:sz w:val="24"/>
                <w:szCs w:val="24"/>
                <w:lang w:val="en-US" w:eastAsia="zh-CN" w:bidi="ar"/>
              </w:rPr>
              <w:t>主导实地调研、问卷</w:t>
            </w:r>
            <w:r>
              <w:rPr>
                <w:rFonts w:hint="eastAsia" w:ascii="宋体" w:hAnsi="宋体" w:cs="宋体"/>
                <w:kern w:val="0"/>
                <w:sz w:val="24"/>
                <w:szCs w:val="24"/>
                <w:lang w:val="en-US" w:eastAsia="zh-CN" w:bidi="ar"/>
              </w:rPr>
              <w:t>设计</w:t>
            </w:r>
            <w:r>
              <w:rPr>
                <w:rFonts w:ascii="宋体" w:hAnsi="宋体" w:eastAsia="宋体" w:cs="宋体"/>
                <w:kern w:val="0"/>
                <w:sz w:val="24"/>
                <w:szCs w:val="24"/>
                <w:lang w:val="en-US" w:eastAsia="zh-CN" w:bidi="ar"/>
              </w:rPr>
              <w:t>与访谈组织，协助完成定价测算、产品方案细化</w:t>
            </w:r>
          </w:p>
        </w:tc>
        <w:tc>
          <w:tcPr>
            <w:tcW w:w="1191" w:type="dxa"/>
          </w:tcPr>
          <w:p w14:paraId="1F1064DD">
            <w:pPr>
              <w:spacing w:before="240"/>
              <w:rPr>
                <w:rFonts w:hint="eastAsia" w:eastAsia="黑体"/>
                <w:b/>
                <w:bCs/>
                <w:sz w:val="28"/>
                <w:lang w:eastAsia="zh-CN"/>
              </w:rPr>
            </w:pPr>
            <w:r>
              <w:rPr>
                <w:rFonts w:hint="eastAsia" w:eastAsia="黑体"/>
                <w:b/>
                <w:bCs/>
                <w:sz w:val="28"/>
                <w:lang w:eastAsia="zh-CN"/>
              </w:rPr>
              <w:drawing>
                <wp:inline distT="0" distB="0" distL="114300" distR="114300">
                  <wp:extent cx="617855" cy="350520"/>
                  <wp:effectExtent l="0" t="0" r="1270" b="1905"/>
                  <wp:docPr id="4" name="图片 4" descr="ab5f57c3ff88ebd82c2d14a033d1e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b5f57c3ff88ebd82c2d14a033d1e488"/>
                          <pic:cNvPicPr>
                            <a:picLocks noChangeAspect="1"/>
                          </pic:cNvPicPr>
                        </pic:nvPicPr>
                        <pic:blipFill>
                          <a:blip r:embed="rId9"/>
                          <a:stretch>
                            <a:fillRect/>
                          </a:stretch>
                        </pic:blipFill>
                        <pic:spPr>
                          <a:xfrm>
                            <a:off x="0" y="0"/>
                            <a:ext cx="617855" cy="350520"/>
                          </a:xfrm>
                          <a:prstGeom prst="rect">
                            <a:avLst/>
                          </a:prstGeom>
                        </pic:spPr>
                      </pic:pic>
                    </a:graphicData>
                  </a:graphic>
                </wp:inline>
              </w:drawing>
            </w:r>
          </w:p>
        </w:tc>
      </w:tr>
      <w:tr w14:paraId="18E38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dxa"/>
          </w:tcPr>
          <w:p w14:paraId="64D4957D">
            <w:pPr>
              <w:spacing w:before="240"/>
              <w:jc w:val="center"/>
              <w:rPr>
                <w:rFonts w:hint="eastAsia" w:ascii="宋体" w:hAnsi="宋体"/>
                <w:sz w:val="24"/>
                <w:szCs w:val="24"/>
              </w:rPr>
            </w:pPr>
            <w:r>
              <w:rPr>
                <w:rFonts w:hint="eastAsia" w:ascii="宋体" w:hAnsi="宋体"/>
                <w:sz w:val="24"/>
                <w:szCs w:val="24"/>
                <w:lang w:val="en-US" w:eastAsia="zh-CN"/>
              </w:rPr>
              <w:t>金羿飞</w:t>
            </w:r>
          </w:p>
        </w:tc>
        <w:tc>
          <w:tcPr>
            <w:tcW w:w="1600" w:type="dxa"/>
          </w:tcPr>
          <w:p w14:paraId="4A77C5D5">
            <w:pPr>
              <w:spacing w:before="240"/>
              <w:jc w:val="center"/>
              <w:rPr>
                <w:rFonts w:hint="eastAsia" w:ascii="宋体" w:hAnsi="宋体"/>
                <w:sz w:val="24"/>
                <w:szCs w:val="24"/>
              </w:rPr>
            </w:pPr>
            <w:r>
              <w:rPr>
                <w:rFonts w:hint="eastAsia" w:ascii="宋体" w:hAnsi="宋体"/>
                <w:sz w:val="24"/>
                <w:szCs w:val="24"/>
              </w:rPr>
              <w:t>10245000450</w:t>
            </w:r>
          </w:p>
        </w:tc>
        <w:tc>
          <w:tcPr>
            <w:tcW w:w="1087" w:type="dxa"/>
          </w:tcPr>
          <w:p w14:paraId="6FED6C05">
            <w:pPr>
              <w:spacing w:before="240"/>
              <w:jc w:val="center"/>
              <w:rPr>
                <w:rFonts w:hint="eastAsia" w:ascii="宋体" w:hAnsi="宋体"/>
                <w:sz w:val="24"/>
                <w:szCs w:val="24"/>
              </w:rPr>
            </w:pPr>
            <w:r>
              <w:rPr>
                <w:rFonts w:hint="eastAsia" w:ascii="宋体" w:hAnsi="宋体"/>
                <w:sz w:val="24"/>
                <w:szCs w:val="24"/>
                <w:lang w:val="en-US" w:eastAsia="zh-CN"/>
              </w:rPr>
              <w:t>2024级</w:t>
            </w:r>
          </w:p>
        </w:tc>
        <w:tc>
          <w:tcPr>
            <w:tcW w:w="1413" w:type="dxa"/>
            <w:vAlign w:val="center"/>
          </w:tcPr>
          <w:p w14:paraId="0255EE63">
            <w:pPr>
              <w:spacing w:before="240"/>
              <w:ind w:left="0" w:leftChars="0" w:right="0" w:rightChars="0" w:firstLine="0" w:firstLineChars="0"/>
              <w:jc w:val="center"/>
              <w:rPr>
                <w:rFonts w:hint="eastAsia" w:ascii="宋体" w:hAnsi="宋体"/>
                <w:sz w:val="24"/>
                <w:szCs w:val="24"/>
              </w:rPr>
            </w:pPr>
            <w:r>
              <w:rPr>
                <w:rFonts w:hint="eastAsia" w:ascii="宋体" w:hAnsi="宋体" w:cs="Times New Roman"/>
                <w:sz w:val="24"/>
                <w:szCs w:val="24"/>
                <w:lang w:val="en-US" w:eastAsia="zh-CN"/>
              </w:rPr>
              <w:t>统计学</w:t>
            </w:r>
          </w:p>
        </w:tc>
        <w:tc>
          <w:tcPr>
            <w:tcW w:w="3311" w:type="dxa"/>
            <w:shd w:val="clear" w:color="auto" w:fill="auto"/>
            <w:vAlign w:val="center"/>
          </w:tcPr>
          <w:p w14:paraId="35A6F51A">
            <w:pPr>
              <w:jc w:val="left"/>
              <w:rPr>
                <w:rFonts w:hint="eastAsia" w:ascii="宋体" w:hAnsi="宋体" w:eastAsia="宋体" w:cs="宋体"/>
                <w:b w:val="0"/>
                <w:bCs/>
                <w:kern w:val="2"/>
                <w:sz w:val="24"/>
                <w:szCs w:val="20"/>
                <w:lang w:val="en-US" w:eastAsia="zh" w:bidi="ar-SA"/>
              </w:rPr>
            </w:pPr>
            <w:r>
              <w:rPr>
                <w:rFonts w:ascii="宋体" w:hAnsi="宋体" w:eastAsia="宋体" w:cs="宋体"/>
                <w:kern w:val="0"/>
                <w:sz w:val="24"/>
                <w:szCs w:val="24"/>
                <w:lang w:val="en-US" w:eastAsia="zh-CN" w:bidi="ar"/>
              </w:rPr>
              <w:t>主导数据分析、定价模型构建与测算工作</w:t>
            </w:r>
            <w:r>
              <w:rPr>
                <w:rFonts w:hint="eastAsia" w:ascii="宋体" w:hAnsi="宋体" w:cs="宋体"/>
                <w:kern w:val="0"/>
                <w:sz w:val="24"/>
                <w:szCs w:val="24"/>
                <w:lang w:val="en-US" w:eastAsia="zh-CN" w:bidi="ar"/>
              </w:rPr>
              <w:t>，辅助实地调研</w:t>
            </w:r>
          </w:p>
        </w:tc>
        <w:tc>
          <w:tcPr>
            <w:tcW w:w="1191" w:type="dxa"/>
          </w:tcPr>
          <w:p w14:paraId="6115B592">
            <w:pPr>
              <w:spacing w:before="240"/>
              <w:rPr>
                <w:rFonts w:hint="eastAsia" w:eastAsia="黑体"/>
                <w:b/>
                <w:bCs/>
                <w:sz w:val="28"/>
                <w:lang w:eastAsia="zh-CN"/>
              </w:rPr>
            </w:pPr>
            <w:r>
              <w:rPr>
                <w:rFonts w:hint="eastAsia" w:eastAsia="黑体"/>
                <w:b/>
                <w:bCs/>
                <w:sz w:val="28"/>
                <w:lang w:eastAsia="zh-CN"/>
              </w:rPr>
              <w:drawing>
                <wp:inline distT="0" distB="0" distL="114300" distR="114300">
                  <wp:extent cx="615950" cy="260350"/>
                  <wp:effectExtent l="0" t="0" r="3175" b="6350"/>
                  <wp:docPr id="2" name="图片 2" descr="db43f405316bfed3d75d68703b017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b43f405316bfed3d75d68703b01722b"/>
                          <pic:cNvPicPr>
                            <a:picLocks noChangeAspect="1"/>
                          </pic:cNvPicPr>
                        </pic:nvPicPr>
                        <pic:blipFill>
                          <a:blip r:embed="rId10"/>
                          <a:stretch>
                            <a:fillRect/>
                          </a:stretch>
                        </pic:blipFill>
                        <pic:spPr>
                          <a:xfrm>
                            <a:off x="0" y="0"/>
                            <a:ext cx="615950" cy="260350"/>
                          </a:xfrm>
                          <a:prstGeom prst="rect">
                            <a:avLst/>
                          </a:prstGeom>
                        </pic:spPr>
                      </pic:pic>
                    </a:graphicData>
                  </a:graphic>
                </wp:inline>
              </w:drawing>
            </w:r>
          </w:p>
        </w:tc>
      </w:tr>
      <w:tr w14:paraId="6F42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dxa"/>
          </w:tcPr>
          <w:p w14:paraId="6C72BD1F">
            <w:pPr>
              <w:spacing w:before="240"/>
              <w:jc w:val="center"/>
              <w:rPr>
                <w:rFonts w:hint="eastAsia" w:ascii="宋体" w:hAnsi="宋体"/>
                <w:sz w:val="24"/>
                <w:szCs w:val="24"/>
              </w:rPr>
            </w:pPr>
            <w:r>
              <w:rPr>
                <w:rFonts w:hint="eastAsia" w:ascii="宋体" w:hAnsi="宋体"/>
                <w:sz w:val="24"/>
                <w:szCs w:val="24"/>
              </w:rPr>
              <w:t>黎逸帆</w:t>
            </w:r>
          </w:p>
        </w:tc>
        <w:tc>
          <w:tcPr>
            <w:tcW w:w="1600" w:type="dxa"/>
          </w:tcPr>
          <w:p w14:paraId="08CE3478">
            <w:pPr>
              <w:spacing w:before="240"/>
              <w:jc w:val="center"/>
              <w:rPr>
                <w:rFonts w:hint="eastAsia" w:ascii="宋体" w:hAnsi="宋体"/>
                <w:sz w:val="24"/>
                <w:szCs w:val="24"/>
              </w:rPr>
            </w:pPr>
            <w:r>
              <w:rPr>
                <w:rFonts w:hint="eastAsia" w:ascii="宋体" w:hAnsi="宋体"/>
                <w:sz w:val="24"/>
                <w:szCs w:val="24"/>
              </w:rPr>
              <w:t>10244901401</w:t>
            </w:r>
          </w:p>
        </w:tc>
        <w:tc>
          <w:tcPr>
            <w:tcW w:w="1087" w:type="dxa"/>
          </w:tcPr>
          <w:p w14:paraId="69BF89C7">
            <w:pPr>
              <w:spacing w:before="240"/>
              <w:jc w:val="center"/>
              <w:rPr>
                <w:rFonts w:hint="eastAsia" w:ascii="宋体" w:hAnsi="宋体"/>
                <w:sz w:val="24"/>
                <w:szCs w:val="24"/>
              </w:rPr>
            </w:pPr>
            <w:r>
              <w:rPr>
                <w:rFonts w:hint="eastAsia" w:ascii="宋体" w:hAnsi="宋体"/>
                <w:sz w:val="24"/>
                <w:szCs w:val="24"/>
                <w:lang w:val="en-US" w:eastAsia="zh-CN"/>
              </w:rPr>
              <w:t>2024级</w:t>
            </w:r>
          </w:p>
        </w:tc>
        <w:tc>
          <w:tcPr>
            <w:tcW w:w="1413" w:type="dxa"/>
            <w:vAlign w:val="center"/>
          </w:tcPr>
          <w:p w14:paraId="74157B3F">
            <w:pPr>
              <w:spacing w:before="240"/>
              <w:ind w:left="0" w:leftChars="0" w:right="0" w:rightChars="0" w:firstLine="0" w:firstLineChars="0"/>
              <w:jc w:val="center"/>
              <w:rPr>
                <w:rFonts w:hint="eastAsia" w:ascii="宋体" w:hAnsi="宋体" w:eastAsia="宋体"/>
                <w:sz w:val="24"/>
                <w:szCs w:val="24"/>
                <w:lang w:val="en-US" w:eastAsia="zh-CN"/>
              </w:rPr>
            </w:pPr>
            <w:r>
              <w:rPr>
                <w:rFonts w:hint="eastAsia" w:ascii="宋体" w:hAnsi="宋体"/>
                <w:sz w:val="24"/>
                <w:szCs w:val="24"/>
              </w:rPr>
              <w:t>人力资源管理</w:t>
            </w:r>
            <w:r>
              <w:rPr>
                <w:rFonts w:hint="eastAsia" w:ascii="宋体" w:hAnsi="宋体"/>
                <w:sz w:val="24"/>
                <w:szCs w:val="24"/>
                <w:lang w:eastAsia="zh-CN"/>
              </w:rPr>
              <w:t>（</w:t>
            </w:r>
            <w:r>
              <w:rPr>
                <w:rFonts w:hint="eastAsia" w:ascii="宋体" w:hAnsi="宋体"/>
                <w:sz w:val="24"/>
                <w:szCs w:val="24"/>
              </w:rPr>
              <w:t>应用心理学</w:t>
            </w:r>
            <w:r>
              <w:rPr>
                <w:rFonts w:hint="eastAsia" w:ascii="宋体" w:hAnsi="宋体"/>
                <w:sz w:val="24"/>
                <w:szCs w:val="24"/>
                <w:lang w:eastAsia="zh-CN"/>
              </w:rPr>
              <w:t>）</w:t>
            </w:r>
          </w:p>
        </w:tc>
        <w:tc>
          <w:tcPr>
            <w:tcW w:w="3311" w:type="dxa"/>
            <w:shd w:val="clear" w:color="auto" w:fill="auto"/>
            <w:vAlign w:val="center"/>
          </w:tcPr>
          <w:p w14:paraId="77260590">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val="0"/>
                <w:bCs/>
                <w:kern w:val="2"/>
                <w:sz w:val="24"/>
                <w:szCs w:val="20"/>
                <w:lang w:val="en-US" w:eastAsia="zh-CN" w:bidi="ar-SA"/>
              </w:rPr>
            </w:pPr>
            <w:r>
              <w:rPr>
                <w:rFonts w:ascii="宋体" w:hAnsi="宋体" w:eastAsia="宋体" w:cs="宋体"/>
                <w:kern w:val="0"/>
                <w:sz w:val="24"/>
                <w:szCs w:val="24"/>
                <w:lang w:val="en-US" w:eastAsia="zh-CN" w:bidi="ar"/>
              </w:rPr>
              <w:t>主导实地调研、问卷</w:t>
            </w:r>
            <w:r>
              <w:rPr>
                <w:rFonts w:hint="eastAsia" w:ascii="宋体" w:hAnsi="宋体" w:cs="宋体"/>
                <w:kern w:val="0"/>
                <w:sz w:val="24"/>
                <w:szCs w:val="24"/>
                <w:lang w:val="en-US" w:eastAsia="zh-CN" w:bidi="ar"/>
              </w:rPr>
              <w:t>设计</w:t>
            </w:r>
            <w:r>
              <w:rPr>
                <w:rFonts w:ascii="宋体" w:hAnsi="宋体" w:eastAsia="宋体" w:cs="宋体"/>
                <w:kern w:val="0"/>
                <w:sz w:val="24"/>
                <w:szCs w:val="24"/>
                <w:lang w:val="en-US" w:eastAsia="zh-CN" w:bidi="ar"/>
              </w:rPr>
              <w:t>与访谈组织，协助完成定价测算、产品方案细化</w:t>
            </w:r>
          </w:p>
        </w:tc>
        <w:tc>
          <w:tcPr>
            <w:tcW w:w="1191" w:type="dxa"/>
          </w:tcPr>
          <w:p w14:paraId="08B051E3">
            <w:pPr>
              <w:spacing w:before="240"/>
              <w:rPr>
                <w:rFonts w:hint="eastAsia" w:eastAsia="黑体"/>
                <w:b/>
                <w:bCs/>
                <w:sz w:val="28"/>
                <w:lang w:eastAsia="zh-CN"/>
              </w:rPr>
            </w:pPr>
            <w:r>
              <w:rPr>
                <w:rFonts w:hint="eastAsia" w:eastAsia="黑体"/>
                <w:b/>
                <w:bCs/>
                <w:sz w:val="28"/>
                <w:lang w:eastAsia="zh-CN"/>
              </w:rPr>
              <w:drawing>
                <wp:inline distT="0" distB="0" distL="114300" distR="114300">
                  <wp:extent cx="614680" cy="247650"/>
                  <wp:effectExtent l="0" t="0" r="4445" b="0"/>
                  <wp:docPr id="1" name="图片 1" descr="1ae5f9f7c1f0f9f326b79e817b404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ae5f9f7c1f0f9f326b79e817b40410e"/>
                          <pic:cNvPicPr>
                            <a:picLocks noChangeAspect="1"/>
                          </pic:cNvPicPr>
                        </pic:nvPicPr>
                        <pic:blipFill>
                          <a:blip r:embed="rId11"/>
                          <a:stretch>
                            <a:fillRect/>
                          </a:stretch>
                        </pic:blipFill>
                        <pic:spPr>
                          <a:xfrm>
                            <a:off x="0" y="0"/>
                            <a:ext cx="614680" cy="247650"/>
                          </a:xfrm>
                          <a:prstGeom prst="rect">
                            <a:avLst/>
                          </a:prstGeom>
                        </pic:spPr>
                      </pic:pic>
                    </a:graphicData>
                  </a:graphic>
                </wp:inline>
              </w:drawing>
            </w:r>
          </w:p>
        </w:tc>
      </w:tr>
      <w:tr w14:paraId="251B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dxa"/>
          </w:tcPr>
          <w:p w14:paraId="781B7FA5">
            <w:pPr>
              <w:spacing w:before="240"/>
              <w:jc w:val="center"/>
              <w:rPr>
                <w:rFonts w:hint="eastAsia" w:ascii="宋体" w:hAnsi="宋体"/>
                <w:sz w:val="24"/>
                <w:szCs w:val="24"/>
              </w:rPr>
            </w:pPr>
            <w:r>
              <w:rPr>
                <w:rFonts w:hint="eastAsia" w:ascii="宋体" w:hAnsi="宋体"/>
                <w:sz w:val="24"/>
                <w:szCs w:val="24"/>
              </w:rPr>
              <w:t>郑艺佳</w:t>
            </w:r>
          </w:p>
        </w:tc>
        <w:tc>
          <w:tcPr>
            <w:tcW w:w="1600" w:type="dxa"/>
          </w:tcPr>
          <w:p w14:paraId="243B49D6">
            <w:pPr>
              <w:spacing w:before="240"/>
              <w:jc w:val="center"/>
              <w:rPr>
                <w:rFonts w:hint="eastAsia" w:ascii="宋体" w:hAnsi="宋体"/>
                <w:sz w:val="24"/>
                <w:szCs w:val="24"/>
              </w:rPr>
            </w:pPr>
            <w:r>
              <w:rPr>
                <w:rFonts w:hint="eastAsia" w:ascii="宋体" w:hAnsi="宋体"/>
                <w:sz w:val="24"/>
                <w:szCs w:val="24"/>
              </w:rPr>
              <w:t>10232900435</w:t>
            </w:r>
          </w:p>
        </w:tc>
        <w:tc>
          <w:tcPr>
            <w:tcW w:w="1087" w:type="dxa"/>
          </w:tcPr>
          <w:p w14:paraId="381DB344">
            <w:pPr>
              <w:spacing w:before="240"/>
              <w:jc w:val="center"/>
              <w:rPr>
                <w:rFonts w:hint="eastAsia" w:ascii="宋体" w:hAnsi="宋体"/>
                <w:sz w:val="24"/>
                <w:szCs w:val="24"/>
              </w:rPr>
            </w:pPr>
            <w:r>
              <w:rPr>
                <w:rFonts w:hint="eastAsia" w:ascii="宋体" w:hAnsi="宋体"/>
                <w:sz w:val="24"/>
                <w:szCs w:val="24"/>
                <w:lang w:val="en-US" w:eastAsia="zh-CN"/>
              </w:rPr>
              <w:t>2023级</w:t>
            </w:r>
          </w:p>
        </w:tc>
        <w:tc>
          <w:tcPr>
            <w:tcW w:w="1413" w:type="dxa"/>
            <w:vAlign w:val="center"/>
          </w:tcPr>
          <w:p w14:paraId="50F1EB01">
            <w:pPr>
              <w:spacing w:before="240"/>
              <w:ind w:left="0" w:leftChars="0" w:right="0" w:rightChars="0" w:firstLine="0" w:firstLineChars="0"/>
              <w:jc w:val="center"/>
              <w:rPr>
                <w:rFonts w:hint="default" w:ascii="宋体" w:hAnsi="宋体" w:eastAsia="宋体"/>
                <w:sz w:val="24"/>
                <w:szCs w:val="24"/>
                <w:lang w:val="en-US" w:eastAsia="zh-CN"/>
              </w:rPr>
            </w:pPr>
            <w:r>
              <w:rPr>
                <w:rFonts w:hint="eastAsia" w:ascii="宋体" w:hAnsi="宋体"/>
                <w:sz w:val="24"/>
                <w:szCs w:val="24"/>
                <w:lang w:val="en-US" w:eastAsia="zh-CN"/>
              </w:rPr>
              <w:t>设计学</w:t>
            </w:r>
          </w:p>
        </w:tc>
        <w:tc>
          <w:tcPr>
            <w:tcW w:w="3311" w:type="dxa"/>
            <w:shd w:val="clear" w:color="auto" w:fill="auto"/>
            <w:vAlign w:val="center"/>
          </w:tcPr>
          <w:p w14:paraId="2EC1AB03">
            <w:pPr>
              <w:keepNext w:val="0"/>
              <w:keepLines w:val="0"/>
              <w:widowControl w:val="0"/>
              <w:suppressLineNumbers w:val="0"/>
              <w:spacing w:before="0" w:beforeAutospacing="0" w:after="0" w:afterAutospacing="0"/>
              <w:ind w:left="0" w:leftChars="0" w:right="0" w:rightChars="0"/>
              <w:jc w:val="left"/>
              <w:rPr>
                <w:rFonts w:hint="eastAsia" w:ascii="宋体" w:hAnsi="宋体" w:eastAsia="宋体" w:cs="宋体"/>
                <w:b w:val="0"/>
                <w:bCs/>
                <w:kern w:val="2"/>
                <w:sz w:val="24"/>
                <w:szCs w:val="20"/>
                <w:lang w:val="en-US" w:eastAsia="zh-CN" w:bidi="ar-SA"/>
              </w:rPr>
            </w:pPr>
            <w:r>
              <w:rPr>
                <w:rFonts w:ascii="宋体" w:hAnsi="宋体" w:eastAsia="宋体" w:cs="宋体"/>
                <w:kern w:val="0"/>
                <w:sz w:val="24"/>
                <w:szCs w:val="24"/>
                <w:lang w:val="en-US" w:eastAsia="zh-CN" w:bidi="ar"/>
              </w:rPr>
              <w:t>负责美工排版与产品方案可视化呈现，协助实地调研</w:t>
            </w:r>
          </w:p>
        </w:tc>
        <w:tc>
          <w:tcPr>
            <w:tcW w:w="1191" w:type="dxa"/>
          </w:tcPr>
          <w:p w14:paraId="52B31D87">
            <w:pPr>
              <w:spacing w:before="240"/>
              <w:rPr>
                <w:rFonts w:hint="eastAsia" w:eastAsia="黑体"/>
                <w:b/>
                <w:bCs/>
                <w:sz w:val="28"/>
                <w:lang w:eastAsia="zh-CN"/>
              </w:rPr>
            </w:pPr>
            <w:r>
              <w:rPr>
                <w:rFonts w:hint="eastAsia" w:eastAsia="黑体"/>
                <w:b/>
                <w:bCs/>
                <w:sz w:val="28"/>
                <w:lang w:eastAsia="zh-CN"/>
              </w:rPr>
              <w:drawing>
                <wp:inline distT="0" distB="0" distL="114300" distR="114300">
                  <wp:extent cx="615950" cy="328930"/>
                  <wp:effectExtent l="0" t="0" r="3175" b="4445"/>
                  <wp:docPr id="6" name="图片 6" descr="2f80c9fe603714530761e7dfc856c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f80c9fe603714530761e7dfc856c824"/>
                          <pic:cNvPicPr>
                            <a:picLocks noChangeAspect="1"/>
                          </pic:cNvPicPr>
                        </pic:nvPicPr>
                        <pic:blipFill>
                          <a:blip r:embed="rId12"/>
                          <a:stretch>
                            <a:fillRect/>
                          </a:stretch>
                        </pic:blipFill>
                        <pic:spPr>
                          <a:xfrm>
                            <a:off x="0" y="0"/>
                            <a:ext cx="615950" cy="328930"/>
                          </a:xfrm>
                          <a:prstGeom prst="rect">
                            <a:avLst/>
                          </a:prstGeom>
                        </pic:spPr>
                      </pic:pic>
                    </a:graphicData>
                  </a:graphic>
                </wp:inline>
              </w:drawing>
            </w:r>
          </w:p>
        </w:tc>
      </w:tr>
    </w:tbl>
    <w:p w14:paraId="29AB4465">
      <w:pPr>
        <w:widowControl/>
        <w:jc w:val="left"/>
        <w:rPr>
          <w:rFonts w:eastAsia="黑体"/>
          <w:b/>
          <w:sz w:val="28"/>
        </w:rPr>
      </w:pPr>
      <w:r>
        <w:rPr>
          <w:rFonts w:hint="eastAsia" w:eastAsia="黑体"/>
          <w:b/>
          <w:sz w:val="28"/>
        </w:rPr>
        <w:t>九、项目经费预算</w:t>
      </w:r>
    </w:p>
    <w:tbl>
      <w:tblPr>
        <w:tblStyle w:val="8"/>
        <w:tblW w:w="5003"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22"/>
        <w:gridCol w:w="2919"/>
        <w:gridCol w:w="4519"/>
      </w:tblGrid>
      <w:tr w14:paraId="73EED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7" w:hRule="atLeast"/>
        </w:trPr>
        <w:tc>
          <w:tcPr>
            <w:tcW w:w="1228" w:type="pct"/>
            <w:vAlign w:val="center"/>
          </w:tcPr>
          <w:p w14:paraId="2A6B8F44">
            <w:pPr>
              <w:widowControl/>
              <w:jc w:val="center"/>
              <w:rPr>
                <w:rFonts w:ascii="仿宋" w:hAnsi="仿宋" w:eastAsia="仿宋"/>
                <w:sz w:val="24"/>
                <w:szCs w:val="24"/>
              </w:rPr>
            </w:pPr>
            <w:r>
              <w:rPr>
                <w:rFonts w:hint="eastAsia" w:ascii="仿宋" w:hAnsi="仿宋" w:eastAsia="仿宋"/>
                <w:sz w:val="24"/>
                <w:szCs w:val="24"/>
              </w:rPr>
              <w:t>支出项目名称</w:t>
            </w:r>
          </w:p>
        </w:tc>
        <w:tc>
          <w:tcPr>
            <w:tcW w:w="1480" w:type="pct"/>
            <w:vAlign w:val="center"/>
          </w:tcPr>
          <w:p w14:paraId="7B63DC7F">
            <w:pPr>
              <w:widowControl/>
              <w:jc w:val="center"/>
              <w:rPr>
                <w:rFonts w:ascii="仿宋" w:hAnsi="仿宋" w:eastAsia="仿宋"/>
                <w:sz w:val="24"/>
                <w:szCs w:val="24"/>
              </w:rPr>
            </w:pPr>
            <w:r>
              <w:rPr>
                <w:rFonts w:hint="eastAsia" w:ascii="仿宋" w:hAnsi="仿宋" w:eastAsia="仿宋"/>
                <w:sz w:val="24"/>
                <w:szCs w:val="24"/>
              </w:rPr>
              <w:t>金额（元）</w:t>
            </w:r>
          </w:p>
        </w:tc>
        <w:tc>
          <w:tcPr>
            <w:tcW w:w="2291" w:type="pct"/>
            <w:vAlign w:val="center"/>
          </w:tcPr>
          <w:p w14:paraId="410EE833">
            <w:pPr>
              <w:widowControl/>
              <w:jc w:val="center"/>
              <w:rPr>
                <w:rFonts w:ascii="仿宋" w:hAnsi="仿宋" w:eastAsia="仿宋"/>
                <w:sz w:val="24"/>
                <w:szCs w:val="24"/>
              </w:rPr>
            </w:pPr>
            <w:r>
              <w:rPr>
                <w:rFonts w:hint="eastAsia" w:ascii="仿宋" w:hAnsi="仿宋" w:eastAsia="仿宋"/>
                <w:sz w:val="24"/>
                <w:szCs w:val="24"/>
              </w:rPr>
              <w:t>测算依据及用途</w:t>
            </w:r>
          </w:p>
        </w:tc>
      </w:tr>
      <w:tr w14:paraId="73B08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0" w:hRule="atLeast"/>
        </w:trPr>
        <w:tc>
          <w:tcPr>
            <w:tcW w:w="1228" w:type="pct"/>
            <w:shd w:val="clear" w:color="auto" w:fill="auto"/>
            <w:vAlign w:val="top"/>
          </w:tcPr>
          <w:p w14:paraId="2C537DC4">
            <w:pPr>
              <w:spacing w:before="120" w:after="120" w:line="288" w:lineRule="auto"/>
              <w:ind w:left="0" w:leftChars="0" w:right="0" w:rightChars="0" w:firstLine="0" w:firstLineChars="0"/>
              <w:jc w:val="center"/>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印刷制作费</w:t>
            </w:r>
          </w:p>
        </w:tc>
        <w:tc>
          <w:tcPr>
            <w:tcW w:w="1480" w:type="pct"/>
            <w:shd w:val="clear" w:color="auto" w:fill="auto"/>
            <w:vAlign w:val="top"/>
          </w:tcPr>
          <w:p w14:paraId="1A0CA258">
            <w:pPr>
              <w:spacing w:before="120" w:after="120" w:line="288" w:lineRule="auto"/>
              <w:ind w:left="0" w:leftChars="0" w:right="0" w:rightChars="0" w:firstLine="0" w:firstLineChars="0"/>
              <w:jc w:val="center"/>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2200</w:t>
            </w:r>
          </w:p>
        </w:tc>
        <w:tc>
          <w:tcPr>
            <w:tcW w:w="2291" w:type="pct"/>
            <w:shd w:val="clear" w:color="auto" w:fill="auto"/>
            <w:vAlign w:val="top"/>
          </w:tcPr>
          <w:p w14:paraId="71BCD126">
            <w:pPr>
              <w:spacing w:before="120" w:after="120" w:line="288" w:lineRule="auto"/>
              <w:ind w:left="0" w:leftChars="0"/>
              <w:jc w:val="left"/>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用于补充中年群体调研问卷、研究资料的印刷制作，计划印刷问卷300份、各类研究资料若干，保障群体需求调研及项目资料整理工作顺利开展，确保调研数据收集与资料留存的规范性。</w:t>
            </w:r>
          </w:p>
        </w:tc>
      </w:tr>
      <w:tr w14:paraId="4C5486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3" w:hRule="atLeast"/>
        </w:trPr>
        <w:tc>
          <w:tcPr>
            <w:tcW w:w="1228" w:type="pct"/>
            <w:shd w:val="clear" w:color="auto" w:fill="auto"/>
            <w:vAlign w:val="top"/>
          </w:tcPr>
          <w:p w14:paraId="57473EB3">
            <w:pPr>
              <w:spacing w:before="120" w:after="120" w:line="288" w:lineRule="auto"/>
              <w:ind w:left="0" w:leftChars="0" w:right="0" w:rightChars="0" w:firstLine="0" w:firstLineChars="0"/>
              <w:jc w:val="center"/>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资料费</w:t>
            </w:r>
          </w:p>
        </w:tc>
        <w:tc>
          <w:tcPr>
            <w:tcW w:w="1480" w:type="pct"/>
            <w:shd w:val="clear" w:color="auto" w:fill="auto"/>
            <w:vAlign w:val="top"/>
          </w:tcPr>
          <w:p w14:paraId="633D4419">
            <w:pPr>
              <w:spacing w:before="120" w:after="120" w:line="288" w:lineRule="auto"/>
              <w:ind w:left="0" w:leftChars="0" w:right="0" w:rightChars="0" w:firstLine="0" w:firstLineChars="0"/>
              <w:jc w:val="center"/>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1500</w:t>
            </w:r>
          </w:p>
        </w:tc>
        <w:tc>
          <w:tcPr>
            <w:tcW w:w="2291" w:type="pct"/>
            <w:shd w:val="clear" w:color="auto" w:fill="auto"/>
            <w:vAlign w:val="top"/>
          </w:tcPr>
          <w:p w14:paraId="406A6293">
            <w:pPr>
              <w:spacing w:before="120" w:after="120" w:line="288" w:lineRule="auto"/>
              <w:ind w:left="0" w:leftChars="0"/>
              <w:jc w:val="left"/>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用于文献资料购买、行业报告获取、房产评估相关数据查询，以及研究过程中所需书籍、期刊订阅，为产品设计、定价测算提供理论与数据支撑。</w:t>
            </w:r>
          </w:p>
        </w:tc>
      </w:tr>
      <w:tr w14:paraId="001C0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tcW w:w="1228" w:type="pct"/>
            <w:shd w:val="clear" w:color="auto" w:fill="auto"/>
            <w:vAlign w:val="top"/>
          </w:tcPr>
          <w:p w14:paraId="61A6B892">
            <w:pPr>
              <w:spacing w:before="120" w:after="120" w:line="288" w:lineRule="auto"/>
              <w:ind w:left="0" w:leftChars="0" w:right="0" w:rightChars="0" w:firstLine="0" w:firstLineChars="0"/>
              <w:jc w:val="center"/>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成果印刷费</w:t>
            </w:r>
          </w:p>
        </w:tc>
        <w:tc>
          <w:tcPr>
            <w:tcW w:w="1480" w:type="pct"/>
            <w:shd w:val="clear" w:color="auto" w:fill="auto"/>
            <w:vAlign w:val="top"/>
          </w:tcPr>
          <w:p w14:paraId="5403A6CF">
            <w:pPr>
              <w:spacing w:before="120" w:after="120" w:line="288" w:lineRule="auto"/>
              <w:ind w:left="0" w:leftChars="0" w:right="0" w:rightChars="0" w:firstLine="0" w:firstLineChars="0"/>
              <w:jc w:val="center"/>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1800</w:t>
            </w:r>
          </w:p>
        </w:tc>
        <w:tc>
          <w:tcPr>
            <w:tcW w:w="2291" w:type="pct"/>
            <w:shd w:val="clear" w:color="auto" w:fill="auto"/>
            <w:vAlign w:val="top"/>
          </w:tcPr>
          <w:p w14:paraId="2B233103">
            <w:pPr>
              <w:spacing w:before="120" w:after="120" w:line="288" w:lineRule="auto"/>
              <w:ind w:left="0" w:leftChars="0"/>
              <w:jc w:val="left"/>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用于研究报告、产品实操手册、定价测算手册的印刷装订，计划印刷各30份，满足结题验收、业界推送、试点对接的需求，保障成果落地推广。</w:t>
            </w:r>
          </w:p>
        </w:tc>
      </w:tr>
      <w:tr w14:paraId="481FC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8" w:hRule="atLeast"/>
        </w:trPr>
        <w:tc>
          <w:tcPr>
            <w:tcW w:w="1228" w:type="pct"/>
            <w:shd w:val="clear" w:color="auto" w:fill="auto"/>
            <w:vAlign w:val="top"/>
          </w:tcPr>
          <w:p w14:paraId="4DBD37EE">
            <w:pPr>
              <w:spacing w:before="120" w:after="120" w:line="288" w:lineRule="auto"/>
              <w:ind w:left="0" w:leftChars="0" w:right="0" w:rightChars="0" w:firstLine="0" w:firstLineChars="0"/>
              <w:jc w:val="center"/>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办公耗材费</w:t>
            </w:r>
          </w:p>
        </w:tc>
        <w:tc>
          <w:tcPr>
            <w:tcW w:w="1480" w:type="pct"/>
            <w:shd w:val="clear" w:color="auto" w:fill="auto"/>
            <w:vAlign w:val="top"/>
          </w:tcPr>
          <w:p w14:paraId="6F17878A">
            <w:pPr>
              <w:spacing w:before="120" w:after="120" w:line="288" w:lineRule="auto"/>
              <w:ind w:left="0" w:leftChars="0" w:right="0" w:rightChars="0" w:firstLine="0" w:firstLineChars="0"/>
              <w:jc w:val="center"/>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700</w:t>
            </w:r>
          </w:p>
        </w:tc>
        <w:tc>
          <w:tcPr>
            <w:tcW w:w="2291" w:type="pct"/>
            <w:shd w:val="clear" w:color="auto" w:fill="auto"/>
            <w:vAlign w:val="top"/>
          </w:tcPr>
          <w:p w14:paraId="74B7BECD">
            <w:pPr>
              <w:spacing w:before="120" w:after="120" w:line="288" w:lineRule="auto"/>
              <w:ind w:left="0" w:leftChars="0"/>
              <w:jc w:val="left"/>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用于研究过程中所需打印纸、笔墨、U盘等办公耗材采购，以及数据处理、资料整理所需的耗材支持，保障项目日常开展。</w:t>
            </w:r>
          </w:p>
        </w:tc>
      </w:tr>
      <w:tr w14:paraId="4E7715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5" w:hRule="atLeast"/>
        </w:trPr>
        <w:tc>
          <w:tcPr>
            <w:tcW w:w="1228" w:type="pct"/>
            <w:shd w:val="clear" w:color="auto" w:fill="auto"/>
            <w:vAlign w:val="top"/>
          </w:tcPr>
          <w:p w14:paraId="4CD29981">
            <w:pPr>
              <w:spacing w:before="120" w:after="120" w:line="288" w:lineRule="auto"/>
              <w:ind w:left="0" w:leftChars="0" w:right="0" w:rightChars="0" w:firstLine="0" w:firstLineChars="0"/>
              <w:jc w:val="center"/>
              <w:rPr>
                <w:rFonts w:ascii="Times New Roman" w:hAnsi="Times New Roman" w:eastAsia="仿宋"/>
                <w:sz w:val="22"/>
                <w:szCs w:val="22"/>
              </w:rPr>
            </w:pPr>
            <w:r>
              <w:rPr>
                <w:rFonts w:ascii="Times New Roman" w:hAnsi="Times New Roman" w:eastAsia="仿宋" w:cs="Arial"/>
                <w:sz w:val="22"/>
                <w:szCs w:val="22"/>
              </w:rPr>
              <w:t>市内交通费</w:t>
            </w:r>
          </w:p>
          <w:p w14:paraId="22DBF628">
            <w:pPr>
              <w:spacing w:before="120" w:after="120" w:line="288" w:lineRule="auto"/>
              <w:ind w:left="0" w:leftChars="0" w:right="0" w:rightChars="0" w:firstLine="0" w:firstLineChars="0"/>
              <w:jc w:val="center"/>
              <w:rPr>
                <w:rFonts w:ascii="Times New Roman" w:hAnsi="Times New Roman" w:eastAsia="仿宋" w:cs="Times New Roman"/>
                <w:kern w:val="2"/>
                <w:sz w:val="22"/>
                <w:szCs w:val="22"/>
                <w:lang w:val="en-US" w:eastAsia="zh-CN" w:bidi="ar-SA"/>
              </w:rPr>
            </w:pPr>
          </w:p>
        </w:tc>
        <w:tc>
          <w:tcPr>
            <w:tcW w:w="1480" w:type="pct"/>
            <w:shd w:val="clear" w:color="auto" w:fill="auto"/>
            <w:vAlign w:val="top"/>
          </w:tcPr>
          <w:p w14:paraId="6136C8F3">
            <w:pPr>
              <w:spacing w:before="120" w:after="120" w:line="288" w:lineRule="auto"/>
              <w:ind w:left="0" w:leftChars="0" w:right="0" w:rightChars="0" w:firstLine="0" w:firstLineChars="0"/>
              <w:jc w:val="center"/>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1800</w:t>
            </w:r>
          </w:p>
        </w:tc>
        <w:tc>
          <w:tcPr>
            <w:tcW w:w="2291" w:type="pct"/>
            <w:shd w:val="clear" w:color="auto" w:fill="auto"/>
            <w:vAlign w:val="top"/>
          </w:tcPr>
          <w:p w14:paraId="0DC80BBD">
            <w:pPr>
              <w:spacing w:before="120" w:after="120" w:line="288" w:lineRule="auto"/>
              <w:ind w:left="0" w:leftChars="0"/>
              <w:jc w:val="left"/>
              <w:rPr>
                <w:rFonts w:ascii="Times New Roman" w:hAnsi="Times New Roman" w:eastAsia="仿宋" w:cs="Times New Roman"/>
                <w:kern w:val="2"/>
                <w:sz w:val="22"/>
                <w:szCs w:val="22"/>
                <w:lang w:val="en-US" w:eastAsia="zh-CN" w:bidi="ar-SA"/>
              </w:rPr>
            </w:pPr>
            <w:r>
              <w:rPr>
                <w:rFonts w:ascii="Times New Roman" w:hAnsi="Times New Roman" w:eastAsia="仿宋" w:cs="Arial"/>
                <w:sz w:val="22"/>
                <w:szCs w:val="22"/>
              </w:rPr>
              <w:t>用于项目开展过程中，调研走访、对接不动产登记中心、拜访业界合作单位等产生的市内交通费用，保障各类线下对接、调研工作顺利推进，覆盖项目全周期线下出行需求。</w:t>
            </w:r>
          </w:p>
        </w:tc>
      </w:tr>
      <w:tr w14:paraId="18348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trPr>
        <w:tc>
          <w:tcPr>
            <w:tcW w:w="1228" w:type="pct"/>
            <w:vAlign w:val="center"/>
          </w:tcPr>
          <w:p w14:paraId="67C52983">
            <w:pPr>
              <w:widowControl/>
              <w:jc w:val="center"/>
              <w:rPr>
                <w:rFonts w:ascii="仿宋" w:hAnsi="仿宋" w:eastAsia="仿宋"/>
                <w:b/>
                <w:bCs/>
                <w:sz w:val="24"/>
                <w:szCs w:val="24"/>
              </w:rPr>
            </w:pPr>
            <w:r>
              <w:rPr>
                <w:rFonts w:hint="eastAsia" w:ascii="仿宋" w:hAnsi="仿宋" w:eastAsia="仿宋"/>
                <w:b/>
                <w:bCs/>
                <w:sz w:val="24"/>
                <w:szCs w:val="24"/>
              </w:rPr>
              <w:t>合计</w:t>
            </w:r>
          </w:p>
        </w:tc>
        <w:tc>
          <w:tcPr>
            <w:tcW w:w="1480" w:type="pct"/>
            <w:vAlign w:val="center"/>
          </w:tcPr>
          <w:p w14:paraId="11D679FC">
            <w:pPr>
              <w:spacing w:before="120" w:after="120" w:line="288" w:lineRule="auto"/>
              <w:ind w:left="0" w:leftChars="0" w:right="0" w:rightChars="0" w:firstLine="0" w:firstLineChars="0"/>
              <w:jc w:val="center"/>
              <w:rPr>
                <w:rFonts w:hint="default" w:ascii="仿宋" w:hAnsi="仿宋" w:eastAsia="仿宋"/>
                <w:sz w:val="24"/>
                <w:szCs w:val="24"/>
                <w:lang w:val="en-US" w:eastAsia="zh-CN"/>
              </w:rPr>
            </w:pPr>
            <w:r>
              <w:rPr>
                <w:rFonts w:hint="eastAsia" w:ascii="Times New Roman" w:hAnsi="Times New Roman" w:eastAsia="仿宋" w:cs="Arial"/>
                <w:sz w:val="22"/>
                <w:szCs w:val="22"/>
                <w:lang w:val="en-US" w:eastAsia="zh-CN"/>
              </w:rPr>
              <w:t>8000</w:t>
            </w:r>
          </w:p>
        </w:tc>
        <w:tc>
          <w:tcPr>
            <w:tcW w:w="2291" w:type="pct"/>
            <w:vAlign w:val="center"/>
          </w:tcPr>
          <w:p w14:paraId="6C126188">
            <w:pPr>
              <w:widowControl/>
              <w:jc w:val="center"/>
              <w:rPr>
                <w:rFonts w:ascii="仿宋" w:hAnsi="仿宋" w:eastAsia="仿宋"/>
                <w:sz w:val="24"/>
                <w:szCs w:val="24"/>
              </w:rPr>
            </w:pPr>
          </w:p>
        </w:tc>
      </w:tr>
    </w:tbl>
    <w:p w14:paraId="32F5F8E9">
      <w:pPr>
        <w:spacing w:before="240"/>
        <w:rPr>
          <w:rFonts w:eastAsia="黑体"/>
          <w:b/>
          <w:sz w:val="28"/>
        </w:rPr>
      </w:pPr>
      <w:r>
        <w:rPr>
          <w:rFonts w:hint="eastAsia" w:eastAsia="黑体"/>
          <w:b/>
          <w:sz w:val="28"/>
        </w:rPr>
        <w:t>十</w:t>
      </w:r>
      <w:r>
        <w:rPr>
          <w:rFonts w:eastAsia="黑体"/>
          <w:b/>
          <w:sz w:val="28"/>
        </w:rPr>
        <w:t>、</w:t>
      </w:r>
      <w:r>
        <w:rPr>
          <w:rFonts w:hint="eastAsia" w:eastAsia="黑体"/>
          <w:b/>
          <w:bCs/>
          <w:sz w:val="28"/>
        </w:rPr>
        <w:t>项目研究所需资源</w:t>
      </w:r>
    </w:p>
    <w:tbl>
      <w:tblPr>
        <w:tblStyle w:val="8"/>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634"/>
      </w:tblGrid>
      <w:tr w14:paraId="4C9786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22" w:hRule="atLeast"/>
        </w:trPr>
        <w:tc>
          <w:tcPr>
            <w:tcW w:w="9634" w:type="dxa"/>
          </w:tcPr>
          <w:p w14:paraId="4D2812DF">
            <w:pPr>
              <w:widowControl/>
              <w:spacing w:line="360" w:lineRule="auto"/>
              <w:jc w:val="left"/>
              <w:rPr>
                <w:rFonts w:hint="eastAsia" w:ascii="仿宋" w:hAnsi="仿宋" w:eastAsia="仿宋"/>
                <w:sz w:val="24"/>
                <w:szCs w:val="24"/>
              </w:rPr>
            </w:pPr>
            <w:r>
              <w:rPr>
                <w:rFonts w:hint="eastAsia" w:ascii="仿宋" w:hAnsi="仿宋" w:eastAsia="仿宋"/>
                <w:sz w:val="24"/>
                <w:szCs w:val="24"/>
              </w:rPr>
              <w:t>拟依托的实验室或研究中心等机构、拟使用的仪器设备及其他</w:t>
            </w:r>
          </w:p>
          <w:p w14:paraId="3D157114">
            <w:pPr>
              <w:widowControl/>
              <w:spacing w:line="360" w:lineRule="auto"/>
              <w:jc w:val="left"/>
              <w:rPr>
                <w:rFonts w:hint="eastAsia" w:ascii="仿宋" w:hAnsi="仿宋" w:eastAsia="仿宋"/>
                <w:sz w:val="24"/>
                <w:szCs w:val="24"/>
              </w:rPr>
            </w:pPr>
            <w:r>
              <w:rPr>
                <w:rFonts w:hint="eastAsia" w:ascii="仿宋" w:hAnsi="仿宋" w:eastAsia="仿宋"/>
                <w:sz w:val="24"/>
                <w:szCs w:val="24"/>
              </w:rPr>
              <w:t>1. 人力资源：研究人员（小组成员及指导老师）、金融与不动产领域专家顾问</w:t>
            </w:r>
          </w:p>
          <w:p w14:paraId="74090BDD">
            <w:pPr>
              <w:widowControl/>
              <w:spacing w:line="360" w:lineRule="auto"/>
              <w:jc w:val="left"/>
              <w:rPr>
                <w:rFonts w:hint="eastAsia" w:ascii="仿宋" w:hAnsi="仿宋" w:eastAsia="仿宋"/>
                <w:sz w:val="24"/>
                <w:szCs w:val="24"/>
              </w:rPr>
            </w:pPr>
            <w:r>
              <w:rPr>
                <w:rFonts w:hint="eastAsia" w:ascii="仿宋" w:hAnsi="仿宋" w:eastAsia="仿宋"/>
                <w:sz w:val="24"/>
                <w:szCs w:val="24"/>
              </w:rPr>
              <w:t>2. 财力资源：项目专项经费资助</w:t>
            </w:r>
          </w:p>
          <w:p w14:paraId="17A8F4D9">
            <w:pPr>
              <w:widowControl/>
              <w:spacing w:line="360" w:lineRule="auto"/>
              <w:jc w:val="left"/>
              <w:rPr>
                <w:rFonts w:hint="eastAsia" w:ascii="仿宋" w:hAnsi="仿宋" w:eastAsia="仿宋"/>
                <w:sz w:val="24"/>
                <w:szCs w:val="24"/>
              </w:rPr>
            </w:pPr>
            <w:r>
              <w:rPr>
                <w:rFonts w:hint="eastAsia" w:ascii="仿宋" w:hAnsi="仿宋" w:eastAsia="仿宋"/>
                <w:sz w:val="24"/>
                <w:szCs w:val="24"/>
              </w:rPr>
              <w:t>3. 信息资源：学术文献、共享数据库、行业统计数据、政策文件</w:t>
            </w:r>
          </w:p>
          <w:p w14:paraId="2F1F5BD9">
            <w:pPr>
              <w:widowControl/>
              <w:spacing w:line="360" w:lineRule="auto"/>
              <w:jc w:val="left"/>
              <w:rPr>
                <w:rFonts w:hint="eastAsia" w:ascii="仿宋" w:hAnsi="仿宋" w:eastAsia="仿宋"/>
                <w:sz w:val="24"/>
                <w:szCs w:val="24"/>
              </w:rPr>
            </w:pPr>
            <w:r>
              <w:rPr>
                <w:rFonts w:hint="eastAsia" w:ascii="仿宋" w:hAnsi="仿宋" w:eastAsia="仿宋"/>
                <w:sz w:val="24"/>
                <w:szCs w:val="24"/>
              </w:rPr>
              <w:t>4. 社会资源：实地调研金融机构与不动产相关部门的机会、线下发放调查问卷的渠道</w:t>
            </w:r>
          </w:p>
        </w:tc>
      </w:tr>
    </w:tbl>
    <w:p w14:paraId="27D1D9E0">
      <w:pPr>
        <w:spacing w:before="240"/>
        <w:rPr>
          <w:rFonts w:eastAsia="黑体"/>
          <w:b/>
          <w:sz w:val="28"/>
        </w:rPr>
      </w:pPr>
      <w:r>
        <w:rPr>
          <w:rFonts w:hint="eastAsia" w:eastAsia="黑体"/>
          <w:b/>
          <w:sz w:val="28"/>
        </w:rPr>
        <w:t>十一</w:t>
      </w:r>
      <w:r>
        <w:rPr>
          <w:rFonts w:eastAsia="黑体"/>
          <w:b/>
          <w:sz w:val="28"/>
        </w:rPr>
        <w:t>、</w:t>
      </w:r>
      <w:r>
        <w:rPr>
          <w:rFonts w:hint="eastAsia" w:eastAsia="黑体"/>
          <w:b/>
          <w:sz w:val="28"/>
        </w:rPr>
        <w:t>申请人承诺</w:t>
      </w:r>
    </w:p>
    <w:tbl>
      <w:tblPr>
        <w:tblStyle w:val="8"/>
        <w:tblW w:w="9526"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26"/>
      </w:tblGrid>
      <w:tr w14:paraId="5F056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725" w:hRule="atLeast"/>
        </w:trPr>
        <w:tc>
          <w:tcPr>
            <w:tcW w:w="9526" w:type="dxa"/>
          </w:tcPr>
          <w:p w14:paraId="7300BB5D">
            <w:pPr>
              <w:autoSpaceDE w:val="0"/>
              <w:autoSpaceDN w:val="0"/>
              <w:adjustRightInd w:val="0"/>
              <w:spacing w:line="360" w:lineRule="auto"/>
              <w:ind w:firstLine="480" w:firstLineChars="200"/>
              <w:jc w:val="left"/>
              <w:rPr>
                <w:rFonts w:ascii="仿宋" w:hAnsi="仿宋" w:eastAsia="仿宋" w:cs="宋体"/>
                <w:kern w:val="0"/>
                <w:sz w:val="24"/>
              </w:rPr>
            </w:pPr>
            <w:r>
              <w:rPr>
                <w:rFonts w:hint="eastAsia" w:ascii="仿宋" w:hAnsi="仿宋" w:eastAsia="仿宋" w:cs="宋体"/>
                <w:kern w:val="0"/>
                <w:sz w:val="24"/>
              </w:rPr>
              <w:t>本人保证申请书内容的真实性。如果获得资助，我将履行项目负责人职责，严格遵守经费使用的有关规定，切实保证研究工作时间，积极组织开展研究工作，合理安排研究经费，按时报送有关材料并接受检查。若填报失实和违反规定，本人将承担全部责任。</w:t>
            </w:r>
          </w:p>
          <w:p w14:paraId="7E20C403">
            <w:pPr>
              <w:autoSpaceDE w:val="0"/>
              <w:autoSpaceDN w:val="0"/>
              <w:adjustRightInd w:val="0"/>
              <w:spacing w:line="360" w:lineRule="auto"/>
              <w:jc w:val="left"/>
              <w:rPr>
                <w:rFonts w:ascii="仿宋" w:hAnsi="仿宋" w:eastAsia="仿宋" w:cs="宋体"/>
                <w:kern w:val="0"/>
                <w:sz w:val="24"/>
              </w:rPr>
            </w:pPr>
            <w:r>
              <w:rPr>
                <w:rFonts w:ascii="仿宋" w:hAnsi="仿宋" w:eastAsia="仿宋" w:cs="宋体"/>
                <w:kern w:val="0"/>
                <w:sz w:val="24"/>
              </w:rPr>
              <w:drawing>
                <wp:anchor distT="0" distB="0" distL="114300" distR="114300" simplePos="0" relativeHeight="251659264" behindDoc="0" locked="0" layoutInCell="1" allowOverlap="1">
                  <wp:simplePos x="0" y="0"/>
                  <wp:positionH relativeFrom="column">
                    <wp:posOffset>2485390</wp:posOffset>
                  </wp:positionH>
                  <wp:positionV relativeFrom="paragraph">
                    <wp:posOffset>267970</wp:posOffset>
                  </wp:positionV>
                  <wp:extent cx="604520" cy="372110"/>
                  <wp:effectExtent l="0" t="0" r="5080" b="8890"/>
                  <wp:wrapSquare wrapText="bothSides"/>
                  <wp:docPr id="5" name="图片 5" descr="电子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电子签名"/>
                          <pic:cNvPicPr>
                            <a:picLocks noChangeAspect="1"/>
                          </pic:cNvPicPr>
                        </pic:nvPicPr>
                        <pic:blipFill>
                          <a:blip r:embed="rId8"/>
                          <a:stretch>
                            <a:fillRect/>
                          </a:stretch>
                        </pic:blipFill>
                        <pic:spPr>
                          <a:xfrm>
                            <a:off x="0" y="0"/>
                            <a:ext cx="604520" cy="372110"/>
                          </a:xfrm>
                          <a:prstGeom prst="rect">
                            <a:avLst/>
                          </a:prstGeom>
                        </pic:spPr>
                      </pic:pic>
                    </a:graphicData>
                  </a:graphic>
                </wp:anchor>
              </w:drawing>
            </w:r>
          </w:p>
          <w:p w14:paraId="4A0C9037">
            <w:pPr>
              <w:spacing w:line="320" w:lineRule="exact"/>
              <w:jc w:val="center"/>
              <w:rPr>
                <w:sz w:val="24"/>
              </w:rPr>
            </w:pPr>
            <w:r>
              <w:rPr>
                <w:rFonts w:hint="eastAsia" w:ascii="仿宋" w:hAnsi="仿宋" w:eastAsia="仿宋" w:cs="宋体"/>
                <w:kern w:val="0"/>
                <w:sz w:val="24"/>
              </w:rPr>
              <w:t xml:space="preserve">                          签名：</w:t>
            </w:r>
            <w:r>
              <w:rPr>
                <w:rFonts w:ascii="仿宋" w:hAnsi="仿宋" w:eastAsia="仿宋" w:cs="宋体"/>
                <w:kern w:val="0"/>
                <w:sz w:val="24"/>
              </w:rPr>
              <w:tab/>
            </w:r>
            <w:r>
              <w:rPr>
                <w:rFonts w:hint="eastAsia" w:ascii="仿宋" w:hAnsi="仿宋" w:eastAsia="仿宋"/>
                <w:sz w:val="24"/>
              </w:rPr>
              <w:t xml:space="preserve">          </w:t>
            </w:r>
            <w:r>
              <w:rPr>
                <w:rFonts w:ascii="仿宋" w:hAnsi="仿宋" w:eastAsia="仿宋"/>
                <w:sz w:val="24"/>
              </w:rPr>
              <w:t xml:space="preserve">      </w:t>
            </w:r>
            <w:r>
              <w:rPr>
                <w:rFonts w:hint="eastAsia" w:ascii="仿宋" w:hAnsi="仿宋" w:eastAsia="仿宋"/>
                <w:sz w:val="24"/>
              </w:rPr>
              <w:t xml:space="preserve"> </w:t>
            </w:r>
            <w:r>
              <w:rPr>
                <w:rFonts w:hint="eastAsia" w:ascii="仿宋" w:hAnsi="仿宋" w:eastAsia="仿宋"/>
                <w:sz w:val="24"/>
                <w:lang w:val="en-US" w:eastAsia="zh-CN"/>
              </w:rPr>
              <w:t>2026</w:t>
            </w:r>
            <w:r>
              <w:rPr>
                <w:rFonts w:hint="eastAsia" w:ascii="仿宋" w:hAnsi="仿宋" w:eastAsia="仿宋"/>
                <w:sz w:val="24"/>
              </w:rPr>
              <w:t>年</w:t>
            </w:r>
            <w:r>
              <w:rPr>
                <w:rFonts w:hint="eastAsia" w:ascii="仿宋" w:hAnsi="仿宋" w:eastAsia="仿宋"/>
                <w:sz w:val="24"/>
                <w:lang w:val="en-US" w:eastAsia="zh-CN"/>
              </w:rPr>
              <w:t>4</w:t>
            </w:r>
            <w:r>
              <w:rPr>
                <w:rFonts w:hint="eastAsia" w:ascii="仿宋" w:hAnsi="仿宋" w:eastAsia="仿宋"/>
                <w:sz w:val="24"/>
              </w:rPr>
              <w:t>月</w:t>
            </w:r>
            <w:r>
              <w:rPr>
                <w:rFonts w:hint="eastAsia" w:ascii="仿宋" w:hAnsi="仿宋" w:eastAsia="仿宋"/>
                <w:sz w:val="24"/>
                <w:lang w:val="en-US" w:eastAsia="zh-CN"/>
              </w:rPr>
              <w:t>29</w:t>
            </w:r>
            <w:r>
              <w:rPr>
                <w:rFonts w:hint="eastAsia" w:ascii="仿宋" w:hAnsi="仿宋" w:eastAsia="仿宋"/>
                <w:sz w:val="24"/>
              </w:rPr>
              <w:t>日</w:t>
            </w:r>
          </w:p>
        </w:tc>
      </w:tr>
    </w:tbl>
    <w:p w14:paraId="5D966995">
      <w:pPr>
        <w:widowControl/>
        <w:jc w:val="left"/>
        <w:rPr>
          <w:rFonts w:eastAsia="黑体"/>
          <w:b/>
          <w:sz w:val="28"/>
        </w:rPr>
      </w:pPr>
      <w:r>
        <w:rPr>
          <w:rFonts w:hint="eastAsia" w:eastAsia="黑体"/>
          <w:b/>
          <w:sz w:val="28"/>
        </w:rPr>
        <w:t>十二、审核意见</w:t>
      </w:r>
    </w:p>
    <w:tbl>
      <w:tblPr>
        <w:tblStyle w:val="8"/>
        <w:tblW w:w="963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42"/>
        <w:gridCol w:w="8392"/>
      </w:tblGrid>
      <w:tr w14:paraId="760BD7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22" w:hRule="atLeast"/>
        </w:trPr>
        <w:tc>
          <w:tcPr>
            <w:tcW w:w="1242" w:type="dxa"/>
            <w:vAlign w:val="center"/>
          </w:tcPr>
          <w:p w14:paraId="2D6D2D32">
            <w:pPr>
              <w:widowControl/>
              <w:jc w:val="center"/>
              <w:rPr>
                <w:rFonts w:ascii="仿宋" w:hAnsi="仿宋" w:eastAsia="仿宋"/>
                <w:sz w:val="24"/>
                <w:szCs w:val="24"/>
              </w:rPr>
            </w:pPr>
            <w:r>
              <w:rPr>
                <w:rFonts w:hint="eastAsia" w:ascii="仿宋" w:hAnsi="仿宋" w:eastAsia="仿宋"/>
                <w:sz w:val="24"/>
                <w:szCs w:val="24"/>
              </w:rPr>
              <w:t>指导教师</w:t>
            </w:r>
            <w:r>
              <w:rPr>
                <w:rFonts w:ascii="仿宋" w:hAnsi="仿宋" w:eastAsia="仿宋"/>
                <w:sz w:val="24"/>
                <w:szCs w:val="24"/>
              </w:rPr>
              <w:t>意见</w:t>
            </w:r>
          </w:p>
        </w:tc>
        <w:tc>
          <w:tcPr>
            <w:tcW w:w="8392" w:type="dxa"/>
          </w:tcPr>
          <w:p w14:paraId="7D077414">
            <w:pPr>
              <w:widowControl/>
              <w:ind w:right="960"/>
              <w:jc w:val="both"/>
              <w:rPr>
                <w:rFonts w:hint="default" w:ascii="仿宋" w:hAnsi="仿宋" w:eastAsia="仿宋"/>
                <w:sz w:val="24"/>
                <w:szCs w:val="24"/>
                <w:lang w:val="en-US" w:eastAsia="zh-CN"/>
              </w:rPr>
            </w:pPr>
            <w:r>
              <w:rPr>
                <w:rFonts w:hint="eastAsia" w:ascii="仿宋" w:hAnsi="仿宋" w:eastAsia="仿宋"/>
                <w:sz w:val="24"/>
                <w:szCs w:val="24"/>
                <w:lang w:val="en-US" w:eastAsia="zh-CN"/>
              </w:rPr>
              <w:t>同意。</w:t>
            </w:r>
          </w:p>
          <w:p w14:paraId="3B1FB001">
            <w:pPr>
              <w:widowControl/>
              <w:ind w:right="960"/>
              <w:rPr>
                <w:rFonts w:ascii="仿宋" w:hAnsi="仿宋" w:eastAsia="仿宋"/>
                <w:sz w:val="24"/>
                <w:szCs w:val="24"/>
              </w:rPr>
            </w:pPr>
          </w:p>
          <w:p w14:paraId="267DB7CE">
            <w:pPr>
              <w:widowControl/>
              <w:ind w:right="960"/>
              <w:rPr>
                <w:rFonts w:ascii="仿宋" w:hAnsi="仿宋" w:eastAsia="仿宋"/>
                <w:sz w:val="24"/>
                <w:szCs w:val="24"/>
              </w:rPr>
            </w:pPr>
          </w:p>
          <w:p w14:paraId="0FE2D53D">
            <w:pPr>
              <w:widowControl/>
              <w:ind w:right="960"/>
              <w:jc w:val="center"/>
              <w:rPr>
                <w:rFonts w:hint="eastAsia" w:ascii="仿宋" w:hAnsi="仿宋" w:eastAsia="仿宋"/>
                <w:sz w:val="24"/>
                <w:szCs w:val="24"/>
                <w:lang w:eastAsia="zh-CN"/>
              </w:rPr>
            </w:pPr>
            <w:r>
              <w:rPr>
                <w:rFonts w:ascii="仿宋" w:hAnsi="仿宋" w:eastAsia="仿宋"/>
                <w:sz w:val="24"/>
                <w:szCs w:val="24"/>
              </w:rPr>
              <w:t xml:space="preserve">       </w:t>
            </w:r>
            <w:r>
              <w:rPr>
                <w:rFonts w:hint="eastAsia" w:ascii="仿宋" w:hAnsi="仿宋" w:eastAsia="仿宋"/>
                <w:sz w:val="24"/>
                <w:szCs w:val="24"/>
              </w:rPr>
              <w:t>指导教师（签字）：</w:t>
            </w:r>
            <w:r>
              <w:rPr>
                <w:rFonts w:hint="eastAsia" w:ascii="仿宋" w:hAnsi="仿宋" w:eastAsia="仿宋"/>
                <w:sz w:val="24"/>
                <w:szCs w:val="24"/>
                <w:lang w:eastAsia="zh-CN"/>
              </w:rPr>
              <w:drawing>
                <wp:inline distT="0" distB="0" distL="114300" distR="114300">
                  <wp:extent cx="959485" cy="570865"/>
                  <wp:effectExtent l="0" t="0" r="2540" b="635"/>
                  <wp:docPr id="8" name="图片 8" descr="ddd6585001d90c8410fc639751c4d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dd6585001d90c8410fc639751c4d12c"/>
                          <pic:cNvPicPr>
                            <a:picLocks noChangeAspect="1"/>
                          </pic:cNvPicPr>
                        </pic:nvPicPr>
                        <pic:blipFill>
                          <a:blip r:embed="rId13"/>
                          <a:stretch>
                            <a:fillRect/>
                          </a:stretch>
                        </pic:blipFill>
                        <pic:spPr>
                          <a:xfrm>
                            <a:off x="0" y="0"/>
                            <a:ext cx="959485" cy="570865"/>
                          </a:xfrm>
                          <a:prstGeom prst="rect">
                            <a:avLst/>
                          </a:prstGeom>
                        </pic:spPr>
                      </pic:pic>
                    </a:graphicData>
                  </a:graphic>
                </wp:inline>
              </w:drawing>
            </w:r>
            <w:r>
              <w:rPr>
                <w:rFonts w:hint="eastAsia" w:ascii="仿宋" w:hAnsi="仿宋" w:eastAsia="仿宋"/>
                <w:sz w:val="24"/>
                <w:szCs w:val="24"/>
                <w:lang w:eastAsia="zh-CN"/>
              </w:rPr>
              <w:drawing>
                <wp:inline distT="0" distB="0" distL="114300" distR="114300">
                  <wp:extent cx="1177290" cy="649605"/>
                  <wp:effectExtent l="0" t="0" r="3810" b="7620"/>
                  <wp:docPr id="9" name="图片 9" descr="cb122b55d1d0c974f9bdceece915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b122b55d1d0c974f9bdceece9152069"/>
                          <pic:cNvPicPr>
                            <a:picLocks noChangeAspect="1"/>
                          </pic:cNvPicPr>
                        </pic:nvPicPr>
                        <pic:blipFill>
                          <a:blip r:embed="rId14"/>
                          <a:stretch>
                            <a:fillRect/>
                          </a:stretch>
                        </pic:blipFill>
                        <pic:spPr>
                          <a:xfrm>
                            <a:off x="0" y="0"/>
                            <a:ext cx="1177290" cy="649605"/>
                          </a:xfrm>
                          <a:prstGeom prst="rect">
                            <a:avLst/>
                          </a:prstGeom>
                        </pic:spPr>
                      </pic:pic>
                    </a:graphicData>
                  </a:graphic>
                </wp:inline>
              </w:drawing>
            </w:r>
          </w:p>
          <w:p w14:paraId="5D5257C0">
            <w:pPr>
              <w:widowControl/>
              <w:ind w:right="960"/>
              <w:jc w:val="center"/>
              <w:rPr>
                <w:rFonts w:ascii="仿宋" w:hAnsi="仿宋" w:eastAsia="仿宋"/>
                <w:sz w:val="24"/>
                <w:szCs w:val="24"/>
              </w:rPr>
            </w:pPr>
          </w:p>
          <w:p w14:paraId="44F4952E">
            <w:pPr>
              <w:widowControl/>
              <w:ind w:right="960"/>
              <w:jc w:val="center"/>
              <w:rPr>
                <w:rFonts w:ascii="仿宋" w:hAnsi="仿宋" w:eastAsia="仿宋"/>
                <w:sz w:val="24"/>
                <w:szCs w:val="24"/>
              </w:rPr>
            </w:pPr>
            <w:r>
              <w:rPr>
                <w:rFonts w:hint="eastAsia" w:ascii="仿宋" w:hAnsi="仿宋" w:eastAsia="仿宋"/>
                <w:sz w:val="24"/>
                <w:szCs w:val="24"/>
              </w:rPr>
              <w:t xml:space="preserve"> </w:t>
            </w:r>
            <w:r>
              <w:rPr>
                <w:rFonts w:ascii="仿宋" w:hAnsi="仿宋" w:eastAsia="仿宋"/>
                <w:sz w:val="24"/>
                <w:szCs w:val="24"/>
              </w:rPr>
              <w:t xml:space="preserve">    </w:t>
            </w:r>
            <w:r>
              <w:rPr>
                <w:rFonts w:hint="eastAsia" w:ascii="仿宋" w:hAnsi="仿宋" w:eastAsia="仿宋"/>
                <w:sz w:val="24"/>
                <w:lang w:val="en-US" w:eastAsia="zh-CN"/>
              </w:rPr>
              <w:t>2026</w:t>
            </w:r>
            <w:r>
              <w:rPr>
                <w:rFonts w:hint="eastAsia" w:ascii="仿宋" w:hAnsi="仿宋" w:eastAsia="仿宋"/>
                <w:sz w:val="24"/>
              </w:rPr>
              <w:t>年</w:t>
            </w:r>
            <w:r>
              <w:rPr>
                <w:rFonts w:hint="eastAsia" w:ascii="仿宋" w:hAnsi="仿宋" w:eastAsia="仿宋"/>
                <w:sz w:val="24"/>
                <w:lang w:val="en-US" w:eastAsia="zh-CN"/>
              </w:rPr>
              <w:t>4</w:t>
            </w:r>
            <w:r>
              <w:rPr>
                <w:rFonts w:hint="eastAsia" w:ascii="仿宋" w:hAnsi="仿宋" w:eastAsia="仿宋"/>
                <w:sz w:val="24"/>
              </w:rPr>
              <w:t>月</w:t>
            </w:r>
            <w:r>
              <w:rPr>
                <w:rFonts w:hint="eastAsia" w:ascii="仿宋" w:hAnsi="仿宋" w:eastAsia="仿宋"/>
                <w:sz w:val="24"/>
                <w:lang w:val="en-US" w:eastAsia="zh-CN"/>
              </w:rPr>
              <w:t>29</w:t>
            </w:r>
            <w:r>
              <w:rPr>
                <w:rFonts w:hint="eastAsia" w:ascii="仿宋" w:hAnsi="仿宋" w:eastAsia="仿宋"/>
                <w:sz w:val="24"/>
              </w:rPr>
              <w:t>日</w:t>
            </w:r>
          </w:p>
        </w:tc>
      </w:tr>
      <w:tr w14:paraId="07801E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242" w:type="dxa"/>
            <w:vAlign w:val="center"/>
          </w:tcPr>
          <w:p w14:paraId="3F610358">
            <w:pPr>
              <w:widowControl/>
              <w:jc w:val="center"/>
              <w:rPr>
                <w:rFonts w:ascii="仿宋" w:hAnsi="仿宋" w:eastAsia="仿宋"/>
                <w:sz w:val="24"/>
                <w:szCs w:val="24"/>
              </w:rPr>
            </w:pPr>
            <w:r>
              <w:rPr>
                <w:rFonts w:hint="eastAsia" w:ascii="仿宋" w:hAnsi="仿宋" w:eastAsia="仿宋"/>
                <w:sz w:val="24"/>
                <w:szCs w:val="24"/>
              </w:rPr>
              <w:t>院系（学部）意见</w:t>
            </w:r>
          </w:p>
        </w:tc>
        <w:tc>
          <w:tcPr>
            <w:tcW w:w="8392" w:type="dxa"/>
            <w:vAlign w:val="center"/>
          </w:tcPr>
          <w:p w14:paraId="07CA271B">
            <w:pPr>
              <w:jc w:val="left"/>
              <w:rPr>
                <w:rFonts w:ascii="仿宋" w:hAnsi="仿宋" w:eastAsia="仿宋"/>
                <w:sz w:val="24"/>
                <w:szCs w:val="24"/>
              </w:rPr>
            </w:pPr>
          </w:p>
          <w:p w14:paraId="624CE137">
            <w:pPr>
              <w:jc w:val="left"/>
              <w:rPr>
                <w:rFonts w:ascii="仿宋" w:hAnsi="仿宋" w:eastAsia="仿宋"/>
                <w:sz w:val="24"/>
                <w:szCs w:val="24"/>
              </w:rPr>
            </w:pPr>
          </w:p>
          <w:p w14:paraId="3A68E8C0">
            <w:pPr>
              <w:jc w:val="left"/>
              <w:rPr>
                <w:rFonts w:ascii="仿宋" w:hAnsi="仿宋" w:eastAsia="仿宋"/>
                <w:sz w:val="24"/>
                <w:szCs w:val="24"/>
              </w:rPr>
            </w:pPr>
          </w:p>
          <w:p w14:paraId="65B5EB8F">
            <w:pPr>
              <w:jc w:val="left"/>
              <w:rPr>
                <w:rFonts w:ascii="仿宋" w:hAnsi="仿宋" w:eastAsia="仿宋"/>
                <w:sz w:val="24"/>
                <w:szCs w:val="24"/>
              </w:rPr>
            </w:pPr>
          </w:p>
          <w:p w14:paraId="66DE8282">
            <w:pPr>
              <w:widowControl/>
              <w:jc w:val="left"/>
              <w:rPr>
                <w:rFonts w:ascii="仿宋" w:hAnsi="仿宋" w:eastAsia="仿宋"/>
                <w:sz w:val="24"/>
                <w:szCs w:val="24"/>
              </w:rPr>
            </w:pPr>
          </w:p>
          <w:p w14:paraId="1CAF5C2F">
            <w:pPr>
              <w:widowControl/>
              <w:ind w:firstLine="3120" w:firstLineChars="1300"/>
              <w:jc w:val="left"/>
              <w:rPr>
                <w:rFonts w:ascii="仿宋" w:hAnsi="仿宋" w:eastAsia="仿宋"/>
                <w:sz w:val="24"/>
                <w:szCs w:val="24"/>
              </w:rPr>
            </w:pPr>
            <w:r>
              <w:rPr>
                <w:rFonts w:hint="eastAsia" w:ascii="仿宋" w:hAnsi="仿宋" w:eastAsia="仿宋"/>
                <w:sz w:val="24"/>
                <w:szCs w:val="24"/>
              </w:rPr>
              <w:t>负责人（签字）：</w:t>
            </w:r>
          </w:p>
          <w:p w14:paraId="4F83FE06">
            <w:pPr>
              <w:widowControl/>
              <w:ind w:firstLine="3360" w:firstLineChars="1400"/>
              <w:jc w:val="left"/>
              <w:rPr>
                <w:rFonts w:ascii="仿宋" w:hAnsi="仿宋" w:eastAsia="仿宋"/>
                <w:sz w:val="24"/>
                <w:szCs w:val="24"/>
              </w:rPr>
            </w:pPr>
          </w:p>
          <w:p w14:paraId="1FB0B889">
            <w:pPr>
              <w:widowControl/>
              <w:ind w:firstLine="3600" w:firstLineChars="1500"/>
              <w:jc w:val="left"/>
              <w:rPr>
                <w:rFonts w:ascii="仿宋" w:hAnsi="仿宋" w:eastAsia="仿宋"/>
                <w:sz w:val="24"/>
                <w:szCs w:val="24"/>
              </w:rPr>
            </w:pPr>
            <w:r>
              <w:rPr>
                <w:rFonts w:hint="eastAsia" w:ascii="仿宋" w:hAnsi="仿宋" w:eastAsia="仿宋"/>
                <w:sz w:val="24"/>
                <w:szCs w:val="24"/>
              </w:rPr>
              <w:t>单位公章：</w:t>
            </w:r>
          </w:p>
          <w:p w14:paraId="3E9E1876">
            <w:pPr>
              <w:rPr>
                <w:rFonts w:ascii="仿宋" w:hAnsi="仿宋" w:eastAsia="仿宋"/>
                <w:sz w:val="24"/>
                <w:szCs w:val="24"/>
              </w:rPr>
            </w:pPr>
          </w:p>
          <w:p w14:paraId="59A419D6">
            <w:pPr>
              <w:ind w:firstLine="3360" w:firstLineChars="1400"/>
              <w:rPr>
                <w:rFonts w:ascii="仿宋" w:hAnsi="仿宋" w:eastAsia="仿宋"/>
                <w:sz w:val="24"/>
                <w:szCs w:val="24"/>
              </w:rPr>
            </w:pPr>
            <w:r>
              <w:rPr>
                <w:rFonts w:hint="eastAsia" w:ascii="仿宋" w:hAnsi="仿宋" w:eastAsia="仿宋"/>
                <w:sz w:val="24"/>
                <w:szCs w:val="24"/>
              </w:rPr>
              <w:t>年   月  日</w:t>
            </w:r>
          </w:p>
        </w:tc>
      </w:tr>
      <w:tr w14:paraId="479336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69" w:hRule="atLeast"/>
        </w:trPr>
        <w:tc>
          <w:tcPr>
            <w:tcW w:w="1242" w:type="dxa"/>
            <w:vAlign w:val="center"/>
          </w:tcPr>
          <w:p w14:paraId="40378D6E">
            <w:pPr>
              <w:widowControl/>
              <w:jc w:val="center"/>
              <w:rPr>
                <w:rFonts w:ascii="仿宋" w:hAnsi="仿宋" w:eastAsia="仿宋"/>
                <w:sz w:val="24"/>
                <w:szCs w:val="24"/>
              </w:rPr>
            </w:pPr>
            <w:r>
              <w:rPr>
                <w:rFonts w:hint="eastAsia" w:ascii="仿宋" w:hAnsi="仿宋" w:eastAsia="仿宋"/>
                <w:sz w:val="24"/>
                <w:szCs w:val="24"/>
              </w:rPr>
              <w:t>学校意见</w:t>
            </w:r>
          </w:p>
        </w:tc>
        <w:tc>
          <w:tcPr>
            <w:tcW w:w="8392" w:type="dxa"/>
          </w:tcPr>
          <w:p w14:paraId="2E398057">
            <w:pPr>
              <w:widowControl/>
              <w:ind w:firstLine="4800" w:firstLineChars="2000"/>
              <w:jc w:val="right"/>
              <w:rPr>
                <w:rFonts w:ascii="仿宋" w:hAnsi="仿宋" w:eastAsia="仿宋"/>
                <w:sz w:val="24"/>
                <w:szCs w:val="24"/>
              </w:rPr>
            </w:pPr>
          </w:p>
          <w:p w14:paraId="6EFD591A">
            <w:pPr>
              <w:widowControl/>
              <w:ind w:firstLine="4800" w:firstLineChars="2000"/>
              <w:jc w:val="right"/>
              <w:rPr>
                <w:rFonts w:ascii="仿宋" w:hAnsi="仿宋" w:eastAsia="仿宋"/>
                <w:sz w:val="24"/>
                <w:szCs w:val="24"/>
              </w:rPr>
            </w:pPr>
            <w:bookmarkStart w:id="9" w:name="_GoBack"/>
            <w:bookmarkEnd w:id="9"/>
          </w:p>
          <w:p w14:paraId="08502FF0">
            <w:pPr>
              <w:widowControl/>
              <w:ind w:firstLine="4800" w:firstLineChars="2000"/>
              <w:jc w:val="right"/>
              <w:rPr>
                <w:rFonts w:ascii="仿宋" w:hAnsi="仿宋" w:eastAsia="仿宋"/>
                <w:sz w:val="24"/>
                <w:szCs w:val="24"/>
              </w:rPr>
            </w:pPr>
          </w:p>
          <w:p w14:paraId="074BB679">
            <w:pPr>
              <w:widowControl/>
              <w:ind w:firstLine="4800" w:firstLineChars="2000"/>
              <w:jc w:val="right"/>
              <w:rPr>
                <w:rFonts w:ascii="仿宋" w:hAnsi="仿宋" w:eastAsia="仿宋"/>
                <w:sz w:val="24"/>
                <w:szCs w:val="24"/>
              </w:rPr>
            </w:pPr>
          </w:p>
          <w:p w14:paraId="7EA400D7">
            <w:pPr>
              <w:widowControl/>
              <w:ind w:firstLine="4800" w:firstLineChars="2000"/>
              <w:jc w:val="right"/>
              <w:rPr>
                <w:rFonts w:ascii="仿宋" w:hAnsi="仿宋" w:eastAsia="仿宋"/>
                <w:sz w:val="24"/>
                <w:szCs w:val="24"/>
              </w:rPr>
            </w:pPr>
          </w:p>
          <w:p w14:paraId="74C143D8">
            <w:pPr>
              <w:widowControl/>
              <w:ind w:firstLine="4800" w:firstLineChars="2000"/>
              <w:jc w:val="right"/>
              <w:rPr>
                <w:rFonts w:ascii="仿宋" w:hAnsi="仿宋" w:eastAsia="仿宋"/>
                <w:sz w:val="24"/>
                <w:szCs w:val="24"/>
              </w:rPr>
            </w:pPr>
          </w:p>
          <w:p w14:paraId="193F9622">
            <w:pPr>
              <w:widowControl/>
              <w:ind w:firstLine="4800" w:firstLineChars="2000"/>
              <w:jc w:val="right"/>
              <w:rPr>
                <w:rFonts w:ascii="仿宋" w:hAnsi="仿宋" w:eastAsia="仿宋"/>
                <w:sz w:val="24"/>
                <w:szCs w:val="24"/>
              </w:rPr>
            </w:pPr>
          </w:p>
          <w:p w14:paraId="2A611653">
            <w:pPr>
              <w:widowControl/>
              <w:ind w:firstLine="3360" w:firstLineChars="1400"/>
              <w:jc w:val="left"/>
              <w:rPr>
                <w:rFonts w:ascii="仿宋" w:hAnsi="仿宋" w:eastAsia="仿宋"/>
                <w:sz w:val="24"/>
                <w:szCs w:val="24"/>
              </w:rPr>
            </w:pPr>
            <w:r>
              <w:rPr>
                <w:rFonts w:hint="eastAsia" w:ascii="仿宋" w:hAnsi="仿宋" w:eastAsia="仿宋"/>
                <w:sz w:val="24"/>
                <w:szCs w:val="24"/>
              </w:rPr>
              <w:t>负责人（签字）：</w:t>
            </w:r>
          </w:p>
          <w:p w14:paraId="0E31DFBD">
            <w:pPr>
              <w:widowControl/>
              <w:ind w:firstLine="4800" w:firstLineChars="2000"/>
              <w:rPr>
                <w:rFonts w:ascii="仿宋" w:hAnsi="仿宋" w:eastAsia="仿宋"/>
                <w:sz w:val="24"/>
                <w:szCs w:val="24"/>
              </w:rPr>
            </w:pPr>
          </w:p>
          <w:p w14:paraId="1BD674A6">
            <w:pPr>
              <w:widowControl/>
              <w:ind w:firstLine="3600" w:firstLineChars="1500"/>
              <w:rPr>
                <w:rFonts w:ascii="仿宋" w:hAnsi="仿宋" w:eastAsia="仿宋"/>
                <w:sz w:val="24"/>
                <w:szCs w:val="24"/>
              </w:rPr>
            </w:pPr>
            <w:r>
              <w:rPr>
                <w:rFonts w:hint="eastAsia" w:ascii="仿宋" w:hAnsi="仿宋" w:eastAsia="仿宋"/>
                <w:sz w:val="24"/>
                <w:szCs w:val="24"/>
              </w:rPr>
              <w:t>单位公章：</w:t>
            </w:r>
          </w:p>
          <w:p w14:paraId="47745C25">
            <w:pPr>
              <w:widowControl/>
              <w:ind w:firstLine="3600" w:firstLineChars="1500"/>
              <w:rPr>
                <w:rFonts w:ascii="仿宋" w:hAnsi="仿宋" w:eastAsia="仿宋"/>
                <w:sz w:val="24"/>
                <w:szCs w:val="24"/>
              </w:rPr>
            </w:pPr>
          </w:p>
          <w:p w14:paraId="1EFF6A06">
            <w:pPr>
              <w:widowControl/>
              <w:ind w:firstLine="3600" w:firstLineChars="1500"/>
              <w:rPr>
                <w:rFonts w:ascii="仿宋" w:hAnsi="仿宋" w:eastAsia="仿宋"/>
                <w:sz w:val="24"/>
                <w:szCs w:val="24"/>
              </w:rPr>
            </w:pPr>
            <w:r>
              <w:rPr>
                <w:rFonts w:hint="eastAsia" w:ascii="仿宋" w:hAnsi="仿宋" w:eastAsia="仿宋"/>
                <w:sz w:val="24"/>
                <w:szCs w:val="24"/>
              </w:rPr>
              <w:t>年  月  日</w:t>
            </w:r>
          </w:p>
        </w:tc>
      </w:tr>
    </w:tbl>
    <w:p w14:paraId="0AF34DA2">
      <w:pPr>
        <w:widowControl/>
        <w:jc w:val="left"/>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E9FF59"/>
    <w:multiLevelType w:val="singleLevel"/>
    <w:tmpl w:val="ABE9FF59"/>
    <w:lvl w:ilvl="0" w:tentative="0">
      <w:start w:val="1"/>
      <w:numFmt w:val="decimal"/>
      <w:lvlText w:val="(%1)"/>
      <w:lvlJc w:val="left"/>
      <w:pPr>
        <w:ind w:left="425" w:hanging="425"/>
      </w:pPr>
      <w:rPr>
        <w:rFonts w:hint="default"/>
      </w:rPr>
    </w:lvl>
  </w:abstractNum>
  <w:abstractNum w:abstractNumId="1">
    <w:nsid w:val="D72A0151"/>
    <w:multiLevelType w:val="multilevel"/>
    <w:tmpl w:val="D72A0151"/>
    <w:lvl w:ilvl="0" w:tentative="0">
      <w:start w:val="1"/>
      <w:numFmt w:val="chineseCounting"/>
      <w:suff w:val="nothing"/>
      <w:lvlText w:val="%1、"/>
      <w:lvlJc w:val="left"/>
      <w:pPr>
        <w:ind w:left="72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tabs>
          <w:tab w:val="left" w:pos="-40"/>
        </w:tabs>
        <w:ind w:left="-40" w:firstLine="40"/>
      </w:pPr>
      <w:rPr>
        <w:rFonts w:hint="eastAsia"/>
      </w:rPr>
    </w:lvl>
    <w:lvl w:ilvl="3" w:tentative="0">
      <w:start w:val="1"/>
      <w:numFmt w:val="decimal"/>
      <w:pStyle w:val="4"/>
      <w:suff w:val="nothing"/>
      <w:lvlText w:val="（%4）"/>
      <w:lvlJc w:val="left"/>
      <w:pPr>
        <w:ind w:left="0" w:firstLine="402"/>
      </w:pPr>
      <w:rPr>
        <w:rFonts w:hint="eastAsia"/>
      </w:rPr>
    </w:lvl>
    <w:lvl w:ilvl="4" w:tentative="0">
      <w:start w:val="1"/>
      <w:numFmt w:val="decimal"/>
      <w:suff w:val="nothing"/>
      <w:lvlText w:val="%5）"/>
      <w:lvlJc w:val="left"/>
      <w:pPr>
        <w:tabs>
          <w:tab w:val="left" w:pos="0"/>
        </w:tabs>
        <w:ind w:left="0" w:firstLine="402"/>
      </w:pPr>
      <w:rPr>
        <w:rFonts w:hint="eastAsia"/>
      </w:rPr>
    </w:lvl>
    <w:lvl w:ilvl="5" w:tentative="0">
      <w:start w:val="1"/>
      <w:numFmt w:val="decimal"/>
      <w:suff w:val="nothing"/>
      <w:lvlText w:val="%6）"/>
      <w:lvlJc w:val="left"/>
      <w:pPr>
        <w:ind w:left="0" w:firstLine="402"/>
      </w:pPr>
      <w:rPr>
        <w:rFonts w:hint="eastAsia"/>
      </w:rPr>
    </w:lvl>
    <w:lvl w:ilvl="6" w:tentative="0">
      <w:start w:val="1"/>
      <w:numFmt w:val="lowerLetter"/>
      <w:suff w:val="nothing"/>
      <w:lvlText w:val="%7．"/>
      <w:lvlJc w:val="left"/>
      <w:pPr>
        <w:ind w:left="0" w:firstLine="402"/>
      </w:pPr>
      <w:rPr>
        <w:rFonts w:hint="eastAsia"/>
      </w:rPr>
    </w:lvl>
    <w:lvl w:ilvl="7" w:tentative="0">
      <w:start w:val="1"/>
      <w:numFmt w:val="lowerLetter"/>
      <w:suff w:val="nothing"/>
      <w:lvlText w:val="%8）"/>
      <w:lvlJc w:val="left"/>
      <w:pPr>
        <w:ind w:left="0" w:firstLine="402"/>
      </w:pPr>
      <w:rPr>
        <w:rFonts w:hint="eastAsia"/>
      </w:rPr>
    </w:lvl>
    <w:lvl w:ilvl="8" w:tentative="0">
      <w:start w:val="1"/>
      <w:numFmt w:val="lowerRoman"/>
      <w:suff w:val="nothing"/>
      <w:lvlText w:val="%9 "/>
      <w:lvlJc w:val="left"/>
      <w:pPr>
        <w:ind w:left="0" w:firstLine="402"/>
      </w:pPr>
      <w:rPr>
        <w:rFonts w:hint="eastAsia"/>
      </w:rPr>
    </w:lvl>
  </w:abstractNum>
  <w:abstractNum w:abstractNumId="2">
    <w:nsid w:val="F45D48A7"/>
    <w:multiLevelType w:val="singleLevel"/>
    <w:tmpl w:val="F45D48A7"/>
    <w:lvl w:ilvl="0" w:tentative="0">
      <w:start w:val="1"/>
      <w:numFmt w:val="decimal"/>
      <w:lvlText w:val="(%1)"/>
      <w:lvlJc w:val="left"/>
      <w:pPr>
        <w:ind w:left="425" w:hanging="425"/>
      </w:pPr>
      <w:rPr>
        <w:rFonts w:hint="default"/>
      </w:rPr>
    </w:lvl>
  </w:abstractNum>
  <w:abstractNum w:abstractNumId="3">
    <w:nsid w:val="11010A85"/>
    <w:multiLevelType w:val="singleLevel"/>
    <w:tmpl w:val="11010A85"/>
    <w:lvl w:ilvl="0" w:tentative="0">
      <w:start w:val="1"/>
      <w:numFmt w:val="decimal"/>
      <w:lvlText w:val="(%1)"/>
      <w:lvlJc w:val="left"/>
      <w:pPr>
        <w:ind w:left="425" w:hanging="425"/>
      </w:pPr>
      <w:rPr>
        <w:rFonts w:hint="default"/>
      </w:rPr>
    </w:lvl>
  </w:abstractNum>
  <w:abstractNum w:abstractNumId="4">
    <w:nsid w:val="59832F6F"/>
    <w:multiLevelType w:val="singleLevel"/>
    <w:tmpl w:val="59832F6F"/>
    <w:lvl w:ilvl="0" w:tentative="0">
      <w:start w:val="1"/>
      <w:numFmt w:val="decimal"/>
      <w:lvlText w:val="%1."/>
      <w:lvlJc w:val="left"/>
      <w:pPr>
        <w:ind w:left="425" w:hanging="425"/>
      </w:pPr>
      <w:rPr>
        <w:rFonts w:hint="default"/>
      </w:rPr>
    </w:lvl>
  </w:abstractNum>
  <w:abstractNum w:abstractNumId="5">
    <w:nsid w:val="680CD115"/>
    <w:multiLevelType w:val="singleLevel"/>
    <w:tmpl w:val="680CD115"/>
    <w:lvl w:ilvl="0" w:tentative="0">
      <w:start w:val="1"/>
      <w:numFmt w:val="decimal"/>
      <w:lvlText w:val="(%1)"/>
      <w:lvlJc w:val="left"/>
      <w:pPr>
        <w:ind w:left="425" w:hanging="425"/>
      </w:pPr>
      <w:rPr>
        <w:rFonts w:hint="default"/>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2"/>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C2A"/>
    <w:rsid w:val="000076CD"/>
    <w:rsid w:val="00044AD2"/>
    <w:rsid w:val="00063877"/>
    <w:rsid w:val="00073F3C"/>
    <w:rsid w:val="0018478F"/>
    <w:rsid w:val="001A7FCF"/>
    <w:rsid w:val="00202E1B"/>
    <w:rsid w:val="00334C6B"/>
    <w:rsid w:val="0034771E"/>
    <w:rsid w:val="0051516A"/>
    <w:rsid w:val="0060046E"/>
    <w:rsid w:val="0078229E"/>
    <w:rsid w:val="0088675C"/>
    <w:rsid w:val="0089133C"/>
    <w:rsid w:val="008E5BAE"/>
    <w:rsid w:val="00917CB8"/>
    <w:rsid w:val="00935A03"/>
    <w:rsid w:val="009934A9"/>
    <w:rsid w:val="009D31BA"/>
    <w:rsid w:val="00A23247"/>
    <w:rsid w:val="00A614BA"/>
    <w:rsid w:val="00AB333A"/>
    <w:rsid w:val="00AD4DA6"/>
    <w:rsid w:val="00AF3112"/>
    <w:rsid w:val="00B00F8A"/>
    <w:rsid w:val="00B54897"/>
    <w:rsid w:val="00BC30F7"/>
    <w:rsid w:val="00BD7689"/>
    <w:rsid w:val="00C71CEB"/>
    <w:rsid w:val="00CC0C2A"/>
    <w:rsid w:val="00D46CB7"/>
    <w:rsid w:val="00DD6F13"/>
    <w:rsid w:val="00E02742"/>
    <w:rsid w:val="00E4613D"/>
    <w:rsid w:val="00E912E5"/>
    <w:rsid w:val="00EA00FC"/>
    <w:rsid w:val="00FD79B6"/>
    <w:rsid w:val="02C6029B"/>
    <w:rsid w:val="062231BB"/>
    <w:rsid w:val="09C676BC"/>
    <w:rsid w:val="0A4712F8"/>
    <w:rsid w:val="0E196E69"/>
    <w:rsid w:val="0F873108"/>
    <w:rsid w:val="144C110B"/>
    <w:rsid w:val="189015C1"/>
    <w:rsid w:val="1B7330DF"/>
    <w:rsid w:val="23290648"/>
    <w:rsid w:val="250B5460"/>
    <w:rsid w:val="26377520"/>
    <w:rsid w:val="2F635838"/>
    <w:rsid w:val="2FA103F5"/>
    <w:rsid w:val="395F671A"/>
    <w:rsid w:val="3A6141DD"/>
    <w:rsid w:val="3AC50229"/>
    <w:rsid w:val="437A254D"/>
    <w:rsid w:val="446B3FDB"/>
    <w:rsid w:val="4669598C"/>
    <w:rsid w:val="48E94252"/>
    <w:rsid w:val="4B6C4EBC"/>
    <w:rsid w:val="4F800B4C"/>
    <w:rsid w:val="4FDC5C23"/>
    <w:rsid w:val="5D1F4EFE"/>
    <w:rsid w:val="5EA60121"/>
    <w:rsid w:val="5EBC71F3"/>
    <w:rsid w:val="5F3D09FC"/>
    <w:rsid w:val="630B27FC"/>
    <w:rsid w:val="65B80DDC"/>
    <w:rsid w:val="676135FF"/>
    <w:rsid w:val="68832558"/>
    <w:rsid w:val="68A13DAA"/>
    <w:rsid w:val="69E808F1"/>
    <w:rsid w:val="6B33493A"/>
    <w:rsid w:val="6DCA23B6"/>
    <w:rsid w:val="714365DB"/>
    <w:rsid w:val="7369489A"/>
    <w:rsid w:val="786110AB"/>
    <w:rsid w:val="7E530C42"/>
    <w:rsid w:val="7F457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paragraph" w:styleId="2">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4">
    <w:name w:val="heading 4"/>
    <w:basedOn w:val="1"/>
    <w:next w:val="1"/>
    <w:unhideWhenUsed/>
    <w:qFormat/>
    <w:uiPriority w:val="0"/>
    <w:pPr>
      <w:numPr>
        <w:ilvl w:val="3"/>
        <w:numId w:val="1"/>
      </w:numPr>
      <w:spacing w:before="40" w:beforeLines="40" w:line="288" w:lineRule="auto"/>
      <w:ind w:firstLineChars="0"/>
      <w:jc w:val="left"/>
      <w:outlineLvl w:val="3"/>
    </w:pPr>
    <w:rPr>
      <w:rFonts w:hint="eastAsia" w:ascii="宋体" w:hAnsi="宋体" w:cs="Times New Roman"/>
      <w:b/>
      <w:bCs/>
      <w:kern w:val="0"/>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link w:val="15"/>
    <w:unhideWhenUsed/>
    <w:qFormat/>
    <w:uiPriority w:val="0"/>
    <w:pPr>
      <w:spacing w:before="0" w:beforeLines="0" w:after="20" w:afterLines="20"/>
      <w:ind w:firstLine="0" w:firstLineChars="0"/>
      <w:jc w:val="center"/>
    </w:pPr>
  </w:style>
  <w:style w:type="paragraph" w:styleId="6">
    <w:name w:val="footer"/>
    <w:basedOn w:val="1"/>
    <w:link w:val="13"/>
    <w:unhideWhenUsed/>
    <w:qFormat/>
    <w:uiPriority w:val="99"/>
    <w:pPr>
      <w:tabs>
        <w:tab w:val="center" w:pos="4153"/>
        <w:tab w:val="right" w:pos="8306"/>
      </w:tabs>
      <w:snapToGrid w:val="0"/>
      <w:jc w:val="left"/>
    </w:pPr>
    <w:rPr>
      <w:sz w:val="18"/>
      <w:szCs w:val="18"/>
    </w:rPr>
  </w:style>
  <w:style w:type="paragraph" w:styleId="7">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firstLine="420" w:firstLineChars="200"/>
    </w:pPr>
  </w:style>
  <w:style w:type="character" w:customStyle="1" w:styleId="12">
    <w:name w:val="页眉 字符"/>
    <w:basedOn w:val="10"/>
    <w:link w:val="7"/>
    <w:qFormat/>
    <w:uiPriority w:val="99"/>
    <w:rPr>
      <w:rFonts w:ascii="Times New Roman" w:hAnsi="Times New Roman" w:eastAsia="宋体" w:cs="Times New Roman"/>
      <w:sz w:val="18"/>
      <w:szCs w:val="18"/>
    </w:rPr>
  </w:style>
  <w:style w:type="character" w:customStyle="1" w:styleId="13">
    <w:name w:val="页脚 字符"/>
    <w:basedOn w:val="10"/>
    <w:link w:val="6"/>
    <w:qFormat/>
    <w:uiPriority w:val="99"/>
    <w:rPr>
      <w:rFonts w:ascii="Times New Roman" w:hAnsi="Times New Roman" w:eastAsia="宋体" w:cs="Times New Roman"/>
      <w:sz w:val="18"/>
      <w:szCs w:val="18"/>
    </w:rPr>
  </w:style>
  <w:style w:type="paragraph" w:customStyle="1" w:styleId="14">
    <w:name w:val="图片"/>
    <w:basedOn w:val="1"/>
    <w:qFormat/>
    <w:uiPriority w:val="0"/>
    <w:pPr>
      <w:spacing w:before="0" w:beforeLines="0" w:line="216" w:lineRule="auto"/>
      <w:ind w:firstLine="0" w:firstLineChars="0"/>
      <w:jc w:val="center"/>
    </w:pPr>
    <w:rPr>
      <w:rFonts w:hint="eastAsia"/>
    </w:rPr>
  </w:style>
  <w:style w:type="character" w:customStyle="1" w:styleId="15">
    <w:name w:val="题注 字符"/>
    <w:link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4205</Words>
  <Characters>4596</Characters>
  <Lines>9</Lines>
  <Paragraphs>2</Paragraphs>
  <TotalTime>34</TotalTime>
  <ScaleCrop>false</ScaleCrop>
  <LinksUpToDate>false</LinksUpToDate>
  <CharactersWithSpaces>4739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2022-08-30T14:31:00Z</dcterms:created>
  <dc:creator>neciley@icloud.com</dc:creator>
  <cp:lastModifiedBy>欣欣</cp:lastModifiedBy>
  <dcterms:modified xsi:type="dcterms:W3CDTF">2026-05-06T09:17:55Z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eyJoZGlkIjoiMDljYzUzMWQ4OWI0YzBkYjYzMDRhZTY5ZjZkYmFmYTgiLCJ1c2VySWQiOiIyNDE5MTI5MDAifQ==</vt:lpwstr>
  </property>
  <property fmtid="{D5CDD505-2E9C-101B-9397-08002B2CF9AE}" pid="3" name="KSOProductBuildVer">
    <vt:lpwstr>2052-12.1.0.22529</vt:lpwstr>
  </property>
  <property fmtid="{D5CDD505-2E9C-101B-9397-08002B2CF9AE}" pid="4" name="ICV">
    <vt:lpwstr>78D1F6AC080043B9940563B39128B537_12</vt:lpwstr>
  </property>
</Properties>
</file>