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277E6">
      <w:pPr>
        <w:pStyle w:val="3"/>
        <w:spacing w:line="360" w:lineRule="auto"/>
        <w:ind w:firstLine="0"/>
        <w:rPr>
          <w:rFonts w:hint="eastAsia"/>
          <w:lang w:eastAsia="zh-CN"/>
        </w:rPr>
      </w:pPr>
      <w:r>
        <w:rPr>
          <w:rFonts w:hint="eastAsia" w:ascii="宋体" w:hAnsi="宋体" w:eastAsia="宋体"/>
          <w:lang w:eastAsia="zh-CN"/>
        </w:rPr>
        <w:t>“以房养老”信托社会调查工作方案</w:t>
      </w:r>
    </w:p>
    <w:p w14:paraId="4A7E6475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为深入了解金融消费者群体对信托工具的认知程度，掌握金融消费者参与</w:t>
      </w:r>
      <w:r>
        <w:rPr>
          <w:lang w:eastAsia="zh-CN"/>
        </w:rPr>
        <w:t>“</w:t>
      </w:r>
      <w:r>
        <w:rPr>
          <w:rFonts w:hint="eastAsia"/>
          <w:lang w:eastAsia="zh-CN"/>
        </w:rPr>
        <w:t>以房养老</w:t>
      </w:r>
      <w:r>
        <w:rPr>
          <w:lang w:eastAsia="zh-CN"/>
        </w:rPr>
        <w:t>”</w:t>
      </w:r>
      <w:r>
        <w:rPr>
          <w:rFonts w:hint="eastAsia"/>
          <w:lang w:eastAsia="zh-CN"/>
        </w:rPr>
        <w:t>信托的意愿与需求，上海信托联合浦发银行上海分行共同开展本次</w:t>
      </w:r>
      <w:r>
        <w:rPr>
          <w:lang w:eastAsia="zh-CN"/>
        </w:rPr>
        <w:t>“</w:t>
      </w:r>
      <w:r>
        <w:rPr>
          <w:rFonts w:hint="eastAsia"/>
          <w:lang w:eastAsia="zh-CN"/>
        </w:rPr>
        <w:t>以房养老</w:t>
      </w:r>
      <w:r>
        <w:rPr>
          <w:lang w:eastAsia="zh-CN"/>
        </w:rPr>
        <w:t>”</w:t>
      </w:r>
      <w:r>
        <w:rPr>
          <w:rFonts w:hint="eastAsia"/>
          <w:lang w:eastAsia="zh-CN"/>
        </w:rPr>
        <w:t>信托社会调查，并确定由华东师范大学（中国普惠养老金融研究中心）作为社会调查实施主体，承担调查方案设计、问卷编制、样本实施、数据回收与统计分析、调查报告撰写等工作。为确保调查工作规范、有序、按期完成，现将有关工作安排明确如下。</w:t>
      </w:r>
    </w:p>
    <w:p w14:paraId="6DE0B54B">
      <w:pPr>
        <w:pStyle w:val="4"/>
        <w:spacing w:line="360" w:lineRule="auto"/>
        <w:rPr>
          <w:rFonts w:hint="eastAsia"/>
        </w:rPr>
      </w:pPr>
      <w:r>
        <w:rPr>
          <w:rFonts w:hint="eastAsia" w:ascii="宋体" w:hAnsi="宋体" w:eastAsia="宋体"/>
          <w:lang w:eastAsia="zh-CN"/>
        </w:rPr>
        <w:t>一、调查基本要素</w:t>
      </w:r>
    </w:p>
    <w:tbl>
      <w:tblPr>
        <w:tblStyle w:val="3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6671"/>
      </w:tblGrid>
      <w:tr w14:paraId="46612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7E173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调查名称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0E580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“以房养老”信托社会调查</w:t>
            </w:r>
          </w:p>
        </w:tc>
      </w:tr>
      <w:tr w14:paraId="1B81D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ACD61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开展主体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BBC8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上海信托联合浦发银行上海分行开展</w:t>
            </w:r>
          </w:p>
        </w:tc>
      </w:tr>
      <w:tr w14:paraId="6924D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D5C6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实施主体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0078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华东师范大学（中国普惠养老金融研究中心）</w:t>
            </w:r>
          </w:p>
        </w:tc>
      </w:tr>
      <w:tr w14:paraId="60D78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10F0C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调查目的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B1AFF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一是了解信托在金融消费者群体中的认知度；二是了解金融消费者对以房养老信托的参与意愿</w:t>
            </w:r>
          </w:p>
        </w:tc>
      </w:tr>
      <w:tr w14:paraId="523B9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EA4B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调查对象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51677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浦发银行上海分行辖内32家一级支行的个人客户（养老客户、备老客户）</w:t>
            </w:r>
          </w:p>
        </w:tc>
      </w:tr>
      <w:tr w14:paraId="4B583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402F9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调查样本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2F1EF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3000 个</w:t>
            </w:r>
            <w:r>
              <w:rPr>
                <w:rFonts w:hint="eastAsia"/>
                <w:lang w:eastAsia="zh-CN"/>
              </w:rPr>
              <w:t>，其中深度访谈30个</w:t>
            </w:r>
          </w:p>
        </w:tc>
      </w:tr>
      <w:tr w14:paraId="0EF46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930A6">
            <w:pPr>
              <w:spacing w:before="60" w:after="60" w:line="240" w:lineRule="auto"/>
              <w:jc w:val="center"/>
              <w:rPr>
                <w:rFonts w:hint="eastAsia"/>
              </w:rPr>
            </w:pPr>
            <w:r>
              <w:rPr>
                <w:rFonts w:hint="eastAsia" w:ascii="黑体" w:hAnsi="黑体" w:eastAsia="黑体"/>
              </w:rPr>
              <w:t>调查方式</w:t>
            </w:r>
          </w:p>
        </w:tc>
        <w:tc>
          <w:tcPr>
            <w:tcW w:w="39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C15FC">
            <w:pPr>
              <w:spacing w:before="60" w:after="60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支行网点对客户做电子调查问卷</w:t>
            </w:r>
          </w:p>
        </w:tc>
      </w:tr>
    </w:tbl>
    <w:p w14:paraId="505CB069">
      <w:pPr>
        <w:rPr>
          <w:rFonts w:hint="eastAsia"/>
          <w:lang w:eastAsia="zh-CN"/>
        </w:rPr>
      </w:pPr>
    </w:p>
    <w:p w14:paraId="0EE88FA7">
      <w:pPr>
        <w:pStyle w:val="4"/>
        <w:spacing w:line="360" w:lineRule="auto"/>
        <w:rPr>
          <w:rFonts w:hint="eastAsia"/>
          <w:lang w:eastAsia="zh-CN"/>
        </w:rPr>
      </w:pPr>
      <w:r>
        <w:rPr>
          <w:rFonts w:hint="eastAsia" w:ascii="宋体" w:hAnsi="宋体" w:eastAsia="宋体"/>
          <w:lang w:eastAsia="zh-CN"/>
        </w:rPr>
        <w:t>二、组织实施与职责分工</w:t>
      </w:r>
    </w:p>
    <w:p w14:paraId="0ADBB58A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本次调查由上海信托与浦发银行上海分行联合开展、共同统筹。上海信托负责调查方案审定、问卷内容把关及成果验收。浦发银行上海分行负责辖内32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家一级支行的组织发动、场地与人员配合、客户邀约及现场秩序维护。华东师范大学（中国普惠养老金融研究中心）作为社会调查实施主体，负责问卷设计、调查员培训、样本实施与督导、数据回收清洗、统计分析与调查报告撰写。</w:t>
      </w:r>
    </w:p>
    <w:p w14:paraId="29D027A1">
      <w:pPr>
        <w:pStyle w:val="4"/>
        <w:spacing w:line="360" w:lineRule="auto"/>
        <w:rPr>
          <w:rFonts w:hint="eastAsia"/>
          <w:lang w:eastAsia="zh-CN"/>
        </w:rPr>
      </w:pPr>
      <w:r>
        <w:rPr>
          <w:rFonts w:hint="eastAsia" w:ascii="宋体" w:hAnsi="宋体" w:eastAsia="宋体"/>
          <w:lang w:eastAsia="zh-CN"/>
        </w:rPr>
        <w:t>三、样本分配与质量控制</w:t>
      </w:r>
    </w:p>
    <w:p w14:paraId="318D23AE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本次调查样本总量为</w:t>
      </w:r>
      <w:r>
        <w:rPr>
          <w:lang w:eastAsia="zh-CN"/>
        </w:rPr>
        <w:t>3000</w:t>
      </w:r>
      <w:r>
        <w:rPr>
          <w:rFonts w:hint="eastAsia"/>
          <w:lang w:eastAsia="zh-CN"/>
        </w:rPr>
        <w:t>个，其中深度访谈30人。原则上在浦发银行上海分行32家网点之间按照支行零售业务规模比例分配，确保各网点样本结构与客户结构相匹配。</w:t>
      </w:r>
      <w:r>
        <w:rPr>
          <w:lang w:eastAsia="zh-CN"/>
        </w:rPr>
        <w:t>深度访谈采用分层配额的目的性抽样,在覆盖中心城区、近郊成熟居住区和远郊三类房价梯度的代表性网点中集中安排,每个网点4至5人,兼顾有房老人与中年子女两类对象,并按超募原则招募,确保最终有效样本达到30人。</w:t>
      </w:r>
    </w:p>
    <w:p w14:paraId="0E9E9C09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质量控制方面：一是统一问卷文本与访问口径，调查前对各网点相关人员进行集中培训（线上）；二是实行问卷有效性审核，对填写不完整、逻辑明显矛盾的问卷作无效处理并及时补采；三是实行抽样复核与数据校验，杜绝代填、诱导填写等情况；四是严格执行客户信息保护要求，匿名采集、专管专用，不得将客户信息用于本次调查以外的用途。</w:t>
      </w:r>
    </w:p>
    <w:p w14:paraId="75D4C63B">
      <w:pPr>
        <w:spacing w:line="384" w:lineRule="auto"/>
        <w:rPr>
          <w:rFonts w:hint="eastAsia"/>
          <w:lang w:eastAsia="zh-CN"/>
        </w:rPr>
      </w:pPr>
      <w:r>
        <w:rPr>
          <w:lang w:eastAsia="zh-CN"/>
        </w:rPr>
        <w:t>深度访谈由分行联系人预约客户,华师大联系人员上门或者电话访谈。深度访谈采用半结构化提纲,分老人版与子女版,围绕以房养老参与意愿、居住权与房产传承顾虑、房价</w:t>
      </w:r>
      <w:r>
        <w:rPr>
          <w:rFonts w:hint="eastAsia"/>
          <w:lang w:eastAsia="zh-CN"/>
        </w:rPr>
        <w:t>变动</w:t>
      </w:r>
      <w:r>
        <w:rPr>
          <w:lang w:eastAsia="zh-CN"/>
        </w:rPr>
        <w:t>预期以及对信托机制的信任度等主题展开</w:t>
      </w:r>
      <w:r>
        <w:rPr>
          <w:rFonts w:hint="eastAsia"/>
          <w:lang w:eastAsia="zh-CN"/>
        </w:rPr>
        <w:t>。</w:t>
      </w:r>
    </w:p>
    <w:p w14:paraId="7EC5B1C7">
      <w:pPr>
        <w:pStyle w:val="4"/>
        <w:spacing w:line="360" w:lineRule="auto"/>
        <w:rPr>
          <w:rFonts w:hint="eastAsia"/>
        </w:rPr>
      </w:pPr>
      <w:r>
        <w:rPr>
          <w:rFonts w:hint="eastAsia" w:ascii="宋体" w:hAnsi="宋体" w:eastAsia="宋体"/>
          <w:lang w:eastAsia="zh-CN"/>
        </w:rPr>
        <w:t>四、实施步骤</w:t>
      </w:r>
    </w:p>
    <w:tbl>
      <w:tblPr>
        <w:tblStyle w:val="33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42"/>
        <w:gridCol w:w="3209"/>
        <w:gridCol w:w="2735"/>
      </w:tblGrid>
      <w:tr w14:paraId="4FCC2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21250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阶段</w:t>
            </w:r>
          </w:p>
        </w:tc>
        <w:tc>
          <w:tcPr>
            <w:tcW w:w="8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533A5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时间</w:t>
            </w:r>
          </w:p>
        </w:tc>
        <w:tc>
          <w:tcPr>
            <w:tcW w:w="18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B1DB4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主要工作</w:t>
            </w:r>
          </w:p>
        </w:tc>
        <w:tc>
          <w:tcPr>
            <w:tcW w:w="15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F62C0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责任方</w:t>
            </w:r>
          </w:p>
        </w:tc>
      </w:tr>
      <w:tr w14:paraId="531AA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E82AF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准备阶段</w:t>
            </w:r>
          </w:p>
        </w:tc>
        <w:tc>
          <w:tcPr>
            <w:tcW w:w="8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86265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10.8-10.18</w:t>
            </w:r>
          </w:p>
        </w:tc>
        <w:tc>
          <w:tcPr>
            <w:tcW w:w="18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388F8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1、上海分行工作通知（含调查问卷要求、明确32家分行联系人）；</w:t>
            </w:r>
          </w:p>
          <w:p w14:paraId="27AA687D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2、电子问卷测</w:t>
            </w:r>
            <w:bookmarkStart w:id="3" w:name="_GoBack"/>
            <w:bookmarkEnd w:id="3"/>
            <w:r>
              <w:rPr>
                <w:rFonts w:hint="eastAsia"/>
                <w:lang w:eastAsia="zh-CN"/>
              </w:rPr>
              <w:t>试；</w:t>
            </w:r>
          </w:p>
          <w:p w14:paraId="4F774772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3、线上培训宣贯；</w:t>
            </w:r>
          </w:p>
        </w:tc>
        <w:tc>
          <w:tcPr>
            <w:tcW w:w="15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CB78F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华东师范大学（中国普惠养老金融研究中心）、上海信托、浦发银行上海分行</w:t>
            </w:r>
          </w:p>
        </w:tc>
      </w:tr>
      <w:tr w14:paraId="41B00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CE2D8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实施阶段</w:t>
            </w:r>
          </w:p>
        </w:tc>
        <w:tc>
          <w:tcPr>
            <w:tcW w:w="8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75F92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10.19-11.30</w:t>
            </w:r>
          </w:p>
        </w:tc>
        <w:tc>
          <w:tcPr>
            <w:tcW w:w="18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A3B7A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建议工作微信群，各网点按分配额度开展问卷发放与回收，同步开展进度跟踪、现场督导与样本补充</w:t>
            </w:r>
          </w:p>
        </w:tc>
        <w:tc>
          <w:tcPr>
            <w:tcW w:w="15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8B68C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浦发银行上海分行32家网点联系人、华东师范大学（中国普惠养老金融研究中心）、上海信托</w:t>
            </w:r>
          </w:p>
        </w:tc>
      </w:tr>
      <w:tr w14:paraId="0AA76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F253">
            <w:pPr>
              <w:pStyle w:val="136"/>
              <w:rPr>
                <w:rFonts w:hint="eastAsia"/>
              </w:rPr>
            </w:pPr>
            <w:r>
              <w:rPr>
                <w:rFonts w:hint="eastAsia"/>
              </w:rPr>
              <w:t>汇总分析阶段</w:t>
            </w:r>
          </w:p>
        </w:tc>
        <w:tc>
          <w:tcPr>
            <w:tcW w:w="8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3B223C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12.1-12.30</w:t>
            </w:r>
          </w:p>
        </w:tc>
        <w:tc>
          <w:tcPr>
            <w:tcW w:w="187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D2798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数据清洗与有效性审核、统计分析与交叉分析，形成调查报告并提交审定</w:t>
            </w:r>
          </w:p>
        </w:tc>
        <w:tc>
          <w:tcPr>
            <w:tcW w:w="15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4DD38">
            <w:pPr>
              <w:pStyle w:val="136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华东师范大学（中国普惠养老金融研究中心）</w:t>
            </w:r>
          </w:p>
        </w:tc>
      </w:tr>
    </w:tbl>
    <w:p w14:paraId="546D909D">
      <w:pPr>
        <w:spacing w:line="384" w:lineRule="auto"/>
        <w:ind w:firstLine="0"/>
        <w:jc w:val="left"/>
        <w:rPr>
          <w:rFonts w:hint="eastAsia"/>
          <w:lang w:eastAsia="zh-CN"/>
        </w:rPr>
      </w:pPr>
      <w:r>
        <w:rPr>
          <w:rFonts w:hint="eastAsia"/>
          <w:color w:val="333333"/>
          <w:sz w:val="21"/>
          <w:lang w:eastAsia="zh-CN"/>
        </w:rPr>
        <w:t>备注：三个阶段的具体起止时间，由三方根据网点安排协商确定后另行明确。</w:t>
      </w:r>
    </w:p>
    <w:p w14:paraId="0A51AE55">
      <w:pPr>
        <w:pStyle w:val="4"/>
        <w:numPr>
          <w:ilvl w:val="0"/>
          <w:numId w:val="7"/>
        </w:numPr>
        <w:spacing w:line="360" w:lineRule="auto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浦发银行上海分行一级支行清单（32 家）</w:t>
      </w:r>
    </w:p>
    <w:p w14:paraId="7A999771">
      <w:pPr>
        <w:spacing w:line="360" w:lineRule="auto"/>
        <w:ind w:firstLine="0"/>
        <w:rPr>
          <w:rFonts w:hint="eastAsia"/>
          <w:lang w:eastAsia="zh-CN"/>
        </w:rPr>
      </w:pPr>
    </w:p>
    <w:tbl>
      <w:tblPr>
        <w:tblStyle w:val="33"/>
        <w:tblW w:w="8198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2646"/>
        <w:gridCol w:w="1012"/>
        <w:gridCol w:w="1214"/>
        <w:gridCol w:w="1519"/>
        <w:gridCol w:w="1214"/>
      </w:tblGrid>
      <w:tr w14:paraId="09389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53BC77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　</w:t>
            </w:r>
          </w:p>
        </w:tc>
        <w:tc>
          <w:tcPr>
            <w:tcW w:w="26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720928">
            <w:pPr>
              <w:spacing w:after="0" w:line="240" w:lineRule="auto"/>
              <w:ind w:firstLine="0"/>
              <w:jc w:val="center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一级支行</w:t>
            </w:r>
          </w:p>
        </w:tc>
        <w:tc>
          <w:tcPr>
            <w:tcW w:w="10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D61AFA">
            <w:pPr>
              <w:spacing w:after="0" w:line="240" w:lineRule="auto"/>
              <w:ind w:firstLine="0"/>
              <w:jc w:val="center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问卷数量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D59B52">
            <w:pPr>
              <w:spacing w:after="0" w:line="240" w:lineRule="auto"/>
              <w:ind w:firstLine="0"/>
              <w:jc w:val="center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hint="eastAsia" w:ascii="等线" w:hAnsi="等线" w:eastAsia="等线"/>
                <w:sz w:val="22"/>
                <w:lang w:eastAsia="zh-CN"/>
              </w:rPr>
              <w:t>分行联系人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B482F7">
            <w:pPr>
              <w:spacing w:after="0" w:line="240" w:lineRule="auto"/>
              <w:ind w:firstLine="0"/>
              <w:jc w:val="center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hint="eastAsia" w:ascii="等线" w:hAnsi="等线" w:eastAsia="等线"/>
                <w:sz w:val="22"/>
                <w:lang w:eastAsia="zh-CN"/>
              </w:rPr>
              <w:t>华师大联系人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10FFF7">
            <w:pPr>
              <w:spacing w:after="0" w:line="240" w:lineRule="auto"/>
              <w:ind w:firstLine="0"/>
              <w:jc w:val="center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hint="eastAsia" w:ascii="等线" w:hAnsi="等线" w:eastAsia="等线"/>
                <w:sz w:val="22"/>
                <w:lang w:eastAsia="zh-CN"/>
              </w:rPr>
              <w:t>深度访谈数量</w:t>
            </w:r>
          </w:p>
        </w:tc>
      </w:tr>
      <w:tr w14:paraId="5426C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F08CF2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5C119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上海自贸试验区分行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1B49A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50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E5ABA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2363D1">
            <w:pPr>
              <w:spacing w:after="0" w:line="240" w:lineRule="auto"/>
              <w:ind w:firstLine="0"/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金羿飞</w:t>
            </w:r>
          </w:p>
          <w:p w14:paraId="6EF684D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18930571878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5363C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146D7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6A0DD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66281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上海自贸试验区新片区分行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1C99C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4338B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035318">
            <w:pPr>
              <w:spacing w:after="0" w:line="240" w:lineRule="auto"/>
              <w:ind w:firstLine="0"/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金羿飞</w:t>
            </w:r>
          </w:p>
          <w:p w14:paraId="77E36F6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18930571878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36126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76E6F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494458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3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FC88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第一营业部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4C8D6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D88DC3">
            <w:pPr>
              <w:spacing w:after="0" w:line="240" w:lineRule="auto"/>
              <w:ind w:firstLine="0"/>
              <w:jc w:val="center"/>
              <w:rPr>
                <w:rFonts w:hint="eastAsia" w:ascii="黑体" w:hAnsi="黑体" w:eastAsia="黑体"/>
                <w:szCs w:val="24"/>
                <w:lang w:eastAsia="zh-CN"/>
              </w:rPr>
            </w:pPr>
            <w:r>
              <w:rPr>
                <w:rFonts w:ascii="黑体" w:hAnsi="黑体" w:eastAsia="黑体"/>
                <w:szCs w:val="24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C375A4">
            <w:pPr>
              <w:spacing w:after="0" w:line="240" w:lineRule="auto"/>
              <w:ind w:firstLine="0"/>
              <w:jc w:val="center"/>
              <w:rPr>
                <w:rFonts w:hint="eastAsia" w:ascii="黑体" w:hAnsi="黑体" w:eastAsia="黑体"/>
                <w:szCs w:val="24"/>
                <w:lang w:eastAsia="zh-CN"/>
              </w:rPr>
            </w:pPr>
            <w:r>
              <w:rPr>
                <w:rFonts w:ascii="黑体" w:hAnsi="黑体" w:eastAsia="黑体"/>
                <w:szCs w:val="24"/>
                <w:lang w:eastAsia="zh-CN"/>
              </w:rPr>
              <w:t>沈妍 18917534871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84DB8A">
            <w:pPr>
              <w:spacing w:after="0" w:line="240" w:lineRule="auto"/>
              <w:ind w:firstLine="0"/>
              <w:jc w:val="center"/>
              <w:rPr>
                <w:rFonts w:hint="eastAsia" w:ascii="黑体" w:hAnsi="黑体" w:eastAsia="黑体"/>
                <w:szCs w:val="24"/>
                <w:lang w:eastAsia="zh-CN"/>
              </w:rPr>
            </w:pPr>
          </w:p>
        </w:tc>
      </w:tr>
      <w:tr w14:paraId="7EF60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BD8171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4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1B88A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分行营业部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56DFF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D9CF8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FB69F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沈妍 18917534871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1D5FE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2AC34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26BF46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5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84B52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宝山支行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27438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569D7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4792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昝佳禾 18117100352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08EEF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default"/>
                <w:b/>
                <w:bCs/>
                <w:sz w:val="22"/>
                <w:lang w:val="en-US" w:eastAsia="zh-CN"/>
              </w:rPr>
              <w:t>7</w:t>
            </w:r>
          </w:p>
        </w:tc>
      </w:tr>
      <w:tr w14:paraId="1AC18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773E7C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6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A4D14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长宁支行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E179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AF01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B7C4FE">
            <w:pPr>
              <w:spacing w:after="0" w:line="240" w:lineRule="auto"/>
              <w:ind w:firstLine="0"/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金羿飞</w:t>
            </w:r>
          </w:p>
          <w:p w14:paraId="633A6B9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18930571878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E5EA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68C49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6B06B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7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DAB97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崇明支行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09AD6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80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4CF69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AC790">
            <w:pPr>
              <w:spacing w:after="0" w:line="240" w:lineRule="auto"/>
              <w:ind w:firstLine="0"/>
              <w:jc w:val="center"/>
              <w:rPr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金羿飞</w:t>
            </w:r>
          </w:p>
          <w:p w14:paraId="229DF4D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18930571878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C60BE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428F0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A287F7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8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46FD4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奉贤支行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6E570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80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0D1B5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DE4E7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蒋勤宜13241999484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75FD9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7DD9A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3BD957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9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0D958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虹口支行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2E3B5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7C75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96E75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蒋勤宜13241999484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35B7D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532B8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7AE367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10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72B6A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虹桥支行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D6863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E748B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C89E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蒋勤宜13241999484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A43FA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6EF10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0F1C30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11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B92EE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黄浦支行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87EF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3B0ADE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1CB14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黎逸帆 18717874220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9C75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6</w:t>
            </w:r>
          </w:p>
        </w:tc>
      </w:tr>
      <w:tr w14:paraId="3BACA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A20CE2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12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D4F7E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嘉定支行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37C69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CA6EF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10BB7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昝佳禾 18117100352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F4E97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6</w:t>
            </w:r>
          </w:p>
        </w:tc>
      </w:tr>
      <w:tr w14:paraId="3D926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BA1103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13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2B8DF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金桥支行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F0EE9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FE6F8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0A336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蒋勤宜13241999484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623B8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38E8A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6DB9CE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14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7DDA4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金山支行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2B590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02C11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B6C35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bookmarkStart w:id="0" w:name="OLE_LINK1"/>
            <w:r>
              <w:rPr>
                <w:rFonts w:hint="eastAsia"/>
                <w:b/>
                <w:bCs/>
                <w:sz w:val="22"/>
                <w:lang w:eastAsia="zh-CN"/>
              </w:rPr>
              <w:t>张颂洋 18817423083</w:t>
            </w:r>
            <w:bookmarkEnd w:id="0"/>
            <w:r>
              <w:rPr>
                <w:rFonts w:hint="eastAsia"/>
                <w:b/>
                <w:bCs/>
                <w:sz w:val="22"/>
                <w:lang w:eastAsia="zh-CN"/>
              </w:rPr>
              <w:t xml:space="preserve"> 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70794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252D4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BF3D81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15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A75F6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静安支行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0478BE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98E7F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06D70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昝佳禾 18117100352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72FBA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default"/>
                <w:b/>
                <w:bCs/>
                <w:sz w:val="22"/>
                <w:lang w:val="en-US" w:eastAsia="zh-CN"/>
              </w:rPr>
              <w:t>7</w:t>
            </w:r>
          </w:p>
        </w:tc>
      </w:tr>
      <w:tr w14:paraId="00B0D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4A28BB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16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097E4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空港支行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D41CE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124C8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0EEF4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张颂洋 18817423083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FF140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51D56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3E38EC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17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1A6F9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陆家嘴支行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376EC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A26B2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F6090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昝佳禾 18117100352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C5BC4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6</w:t>
            </w:r>
          </w:p>
        </w:tc>
      </w:tr>
      <w:tr w14:paraId="750BF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BCEF5E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18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378CA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卢湾支行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1C335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AA2C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7407D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黎逸帆 18717874220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5D582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0B898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1B941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19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CCDC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闵行支行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200D7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B229F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017D9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张颂洋 18817423083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3BE9E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61E86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9712A2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20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B29EC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南市支行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820E8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90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747A3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8208D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黎逸帆 18717874220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91C8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2D969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072AF9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21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08662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普陀支行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43BBE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8BC58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25087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黎逸帆 18717874220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C2507E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50FD9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79DA81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22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02E1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青浦支行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B4F26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90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4F50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FA1E2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沈妍 18917534871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6363F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default"/>
                <w:b/>
                <w:bCs/>
                <w:sz w:val="22"/>
                <w:lang w:val="en-US" w:eastAsia="zh-CN"/>
              </w:rPr>
              <w:t>5</w:t>
            </w:r>
          </w:p>
        </w:tc>
      </w:tr>
      <w:tr w14:paraId="4C6D3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4E66F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23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906B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世博支行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6384E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80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ED82E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C2D51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黎逸帆 18717874220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75CE0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47820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DE9F3F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24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8FE66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松江支行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864E2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90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707D5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8455C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沈妍 18917534871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DBACD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12A44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252E0F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25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64E6D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外高桥保税区支行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F7B2F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98D1A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AF77B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bookmarkStart w:id="1" w:name="OLE_LINK2"/>
            <w:r>
              <w:rPr>
                <w:rFonts w:hint="eastAsia"/>
                <w:b/>
                <w:bCs/>
                <w:sz w:val="22"/>
                <w:lang w:eastAsia="zh-CN"/>
              </w:rPr>
              <w:t>付梦雪 13938335162</w:t>
            </w:r>
            <w:bookmarkEnd w:id="1"/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9079F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296C4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FD16F9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26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671E5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外滩支行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036E7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80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B24918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AAD12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付梦雪 13938335162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255CF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33893D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DC1160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27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935F2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徐汇支行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B6156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120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5F55F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72179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张颂洋 18817423083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FF9F2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113F2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089F3B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28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D16476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杨浦支行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07EE6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513EF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9F60D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昝佳禾 18117100352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914CE0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4DA795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A799CE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29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C4570B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闸北支行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4C075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100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C2F70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8C115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bookmarkStart w:id="2" w:name="OLE_LINK3"/>
            <w:r>
              <w:rPr>
                <w:rFonts w:hint="eastAsia"/>
                <w:b/>
                <w:bCs/>
                <w:sz w:val="22"/>
                <w:lang w:eastAsia="zh-CN"/>
              </w:rPr>
              <w:t>李天语18818135883</w:t>
            </w:r>
            <w:bookmarkEnd w:id="2"/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817D0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788F9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1E0173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30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2A5EF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张江科技支行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8ACAF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80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98D19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ACD391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李天语18818135883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3D0904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2779D1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F1F135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31</w:t>
            </w: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BF5C97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华亭支行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FDAA2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40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834129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67803C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付梦雪 13938335162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AF5C6F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</w:p>
        </w:tc>
      </w:tr>
      <w:tr w14:paraId="4326D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/>
            <w:vAlign w:val="center"/>
          </w:tcPr>
          <w:p w14:paraId="076B2BDC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32</w:t>
            </w:r>
          </w:p>
        </w:tc>
        <w:tc>
          <w:tcPr>
            <w:tcW w:w="267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357E56C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b/>
                <w:bCs/>
                <w:sz w:val="22"/>
                <w:lang w:eastAsia="zh-CN"/>
              </w:rPr>
              <w:t>川沙支行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AD34763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b/>
                <w:bCs/>
                <w:color w:val="auto"/>
                <w:sz w:val="22"/>
                <w:lang w:eastAsia="zh-CN"/>
              </w:rPr>
              <w:t>40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266684EC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ascii="等线" w:hAnsi="等线" w:eastAsia="等线"/>
                <w:sz w:val="22"/>
                <w:lang w:eastAsia="zh-CN"/>
              </w:rPr>
              <w:t>　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4606110C">
            <w:pPr>
              <w:spacing w:after="0" w:line="240" w:lineRule="auto"/>
              <w:ind w:firstLine="442" w:firstLineChars="20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李天语18818135883</w:t>
            </w: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 w14:paraId="71C8E5DA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</w:p>
        </w:tc>
      </w:tr>
      <w:tr w14:paraId="36B5E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F905C4">
            <w:pPr>
              <w:spacing w:after="0" w:line="240" w:lineRule="auto"/>
              <w:ind w:firstLine="0"/>
              <w:jc w:val="right"/>
              <w:rPr>
                <w:rFonts w:hint="eastAsia" w:ascii="等线" w:hAnsi="等线" w:eastAsia="等线"/>
                <w:sz w:val="22"/>
                <w:lang w:eastAsia="zh-CN"/>
              </w:rPr>
            </w:pPr>
          </w:p>
        </w:tc>
        <w:tc>
          <w:tcPr>
            <w:tcW w:w="26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5F15F5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sz w:val="22"/>
                <w:lang w:eastAsia="zh-CN"/>
              </w:rPr>
              <w:t>合计</w:t>
            </w:r>
          </w:p>
        </w:tc>
        <w:tc>
          <w:tcPr>
            <w:tcW w:w="10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DA251A">
            <w:pPr>
              <w:spacing w:after="0" w:line="240" w:lineRule="auto"/>
              <w:ind w:firstLine="0"/>
              <w:jc w:val="center"/>
              <w:rPr>
                <w:rFonts w:hint="eastAsia"/>
                <w:b/>
                <w:bCs/>
                <w:color w:val="auto"/>
                <w:sz w:val="22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2"/>
                <w:lang w:eastAsia="zh-CN"/>
              </w:rPr>
              <w:t>3000份</w:t>
            </w: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CE5321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7D60F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BBB259">
            <w:pPr>
              <w:spacing w:after="0" w:line="240" w:lineRule="auto"/>
              <w:ind w:firstLine="0"/>
              <w:jc w:val="left"/>
              <w:rPr>
                <w:rFonts w:hint="eastAsia" w:ascii="等线" w:hAnsi="等线" w:eastAsia="等线"/>
                <w:sz w:val="22"/>
                <w:lang w:eastAsia="zh-CN"/>
              </w:rPr>
            </w:pPr>
            <w:r>
              <w:rPr>
                <w:rFonts w:hint="eastAsia" w:ascii="等线" w:hAnsi="等线" w:eastAsia="等线"/>
                <w:sz w:val="22"/>
                <w:lang w:eastAsia="zh-CN"/>
              </w:rPr>
              <w:t>37份</w:t>
            </w:r>
          </w:p>
        </w:tc>
      </w:tr>
    </w:tbl>
    <w:p w14:paraId="7ADE4BE0">
      <w:pPr>
        <w:spacing w:line="384" w:lineRule="auto"/>
        <w:ind w:firstLine="0"/>
        <w:jc w:val="left"/>
        <w:rPr>
          <w:rFonts w:hint="eastAsia"/>
          <w:color w:val="333333"/>
          <w:sz w:val="21"/>
          <w:lang w:eastAsia="zh-CN"/>
        </w:rPr>
      </w:pPr>
      <w:r>
        <w:rPr>
          <w:rFonts w:hint="eastAsia"/>
          <w:color w:val="333333"/>
          <w:sz w:val="21"/>
          <w:lang w:eastAsia="zh-CN"/>
        </w:rPr>
        <w:t>备注：各支行问卷数量根据实际情况调整，下发后不再变化。</w:t>
      </w:r>
    </w:p>
    <w:p w14:paraId="3D11CC15">
      <w:pPr>
        <w:pStyle w:val="4"/>
        <w:spacing w:line="360" w:lineRule="auto"/>
        <w:ind w:firstLine="301" w:firstLineChars="10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六、组织协调小组</w:t>
      </w:r>
    </w:p>
    <w:p w14:paraId="6ECF1745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浦发银行总行零售部养老金融中心 蒋令宏</w:t>
      </w:r>
    </w:p>
    <w:p w14:paraId="19BCA383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上海信托养老信托事业部 束宇</w:t>
      </w:r>
    </w:p>
    <w:p w14:paraId="74D98C5D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上海分行零售业务部 姜璐洁</w:t>
      </w:r>
    </w:p>
    <w:p w14:paraId="58EAB954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上海信托问卷收集牵头负责人：王诚、朱海骏、汤文婷</w:t>
      </w:r>
    </w:p>
    <w:p w14:paraId="3FD4BAEF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华师大问卷收集及访谈牵头负责人：</w:t>
      </w:r>
    </w:p>
    <w:p w14:paraId="5F14407C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上海分行各分行联系人与华师大联系人做结对沟通。</w:t>
      </w:r>
    </w:p>
    <w:p w14:paraId="26FAB0D6">
      <w:pPr>
        <w:pStyle w:val="4"/>
        <w:spacing w:line="360" w:lineRule="auto"/>
        <w:rPr>
          <w:rFonts w:hint="eastAsia"/>
          <w:lang w:eastAsia="zh-CN"/>
        </w:rPr>
      </w:pPr>
      <w:r>
        <w:rPr>
          <w:rFonts w:hint="eastAsia" w:ascii="宋体" w:hAnsi="宋体" w:eastAsia="宋体"/>
          <w:lang w:eastAsia="zh-CN"/>
        </w:rPr>
        <w:t>七、工作要求</w:t>
      </w:r>
    </w:p>
    <w:p w14:paraId="7A5EC8C5">
      <w:pPr>
        <w:spacing w:line="38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一是加强统筹协同，三方各指定专人对接，建立定期沟通机制，及时协调解决调查过程中出现的问题；二是严格进度管理，按阶段目标推进，确保</w:t>
      </w:r>
      <w:r>
        <w:rPr>
          <w:lang w:eastAsia="zh-CN"/>
        </w:rPr>
        <w:t xml:space="preserve"> 3000 </w:t>
      </w:r>
      <w:r>
        <w:rPr>
          <w:rFonts w:hint="eastAsia"/>
          <w:lang w:eastAsia="zh-CN"/>
        </w:rPr>
        <w:t>个样本按期、按质完成；三是坚持依法合规，严格遵守个人信息保护相关法律法规及金融消费者权益保护要求，不得向客户作误导性宣传；四是保证数据真实，调查数据仅用于本次课题研究，不得挪作他用。</w:t>
      </w:r>
    </w:p>
    <w:p w14:paraId="21493544">
      <w:pPr>
        <w:spacing w:after="0" w:line="432" w:lineRule="auto"/>
        <w:ind w:firstLine="0"/>
        <w:jc w:val="right"/>
        <w:rPr>
          <w:rFonts w:hint="eastAsia"/>
          <w:lang w:eastAsia="zh-CN"/>
        </w:rPr>
      </w:pPr>
    </w:p>
    <w:p w14:paraId="108D2362">
      <w:pPr>
        <w:spacing w:after="0" w:line="432" w:lineRule="auto"/>
        <w:ind w:firstLine="0"/>
        <w:jc w:val="right"/>
        <w:rPr>
          <w:rFonts w:hint="eastAsia"/>
          <w:lang w:eastAsia="zh-CN"/>
        </w:rPr>
      </w:pPr>
    </w:p>
    <w:p w14:paraId="11932A7D">
      <w:pPr>
        <w:spacing w:after="0" w:line="432" w:lineRule="auto"/>
        <w:ind w:firstLine="0"/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华东师范大学（中国普惠养老金融研究中心）</w:t>
      </w:r>
    </w:p>
    <w:p w14:paraId="55D1C69D">
      <w:pPr>
        <w:spacing w:after="0" w:line="432" w:lineRule="auto"/>
        <w:ind w:firstLine="0"/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>上海国际信托有限公司</w:t>
      </w:r>
    </w:p>
    <w:p w14:paraId="6BBD60A1">
      <w:pPr>
        <w:spacing w:after="0" w:line="432" w:lineRule="auto"/>
        <w:ind w:firstLine="0"/>
        <w:jc w:val="right"/>
        <w:rPr>
          <w:rFonts w:hint="eastAsia"/>
          <w:lang w:eastAsia="zh-CN"/>
        </w:rPr>
      </w:pPr>
      <w:r>
        <w:rPr>
          <w:rFonts w:hint="eastAsia"/>
          <w:lang w:eastAsia="zh-CN"/>
        </w:rPr>
        <w:t>浦发银行上海分行</w:t>
      </w:r>
    </w:p>
    <w:p w14:paraId="5B30FA65">
      <w:pPr>
        <w:spacing w:after="0" w:line="432" w:lineRule="auto"/>
        <w:ind w:firstLine="0"/>
        <w:jc w:val="right"/>
        <w:rPr>
          <w:rFonts w:hint="eastAsia"/>
          <w:lang w:eastAsia="zh-CN"/>
        </w:rPr>
      </w:pPr>
      <w:r>
        <w:rPr>
          <w:lang w:eastAsia="zh-CN"/>
        </w:rPr>
        <w:t xml:space="preserve">2026 </w:t>
      </w:r>
      <w:r>
        <w:rPr>
          <w:rFonts w:hint="eastAsia"/>
          <w:lang w:eastAsia="zh-CN"/>
        </w:rPr>
        <w:t>年</w:t>
      </w:r>
      <w:r>
        <w:rPr>
          <w:lang w:eastAsia="zh-CN"/>
        </w:rPr>
        <w:t xml:space="preserve"> 9 </w:t>
      </w:r>
      <w:r>
        <w:rPr>
          <w:rFonts w:hint="eastAsia"/>
          <w:lang w:eastAsia="zh-CN"/>
        </w:rPr>
        <w:t>月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MS Mincho">
    <w:altName w:val="Yu Gothic UI"/>
    <w:panose1 w:val="02020609040002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0006"/>
    <w:multiLevelType w:val="multilevel"/>
    <w:tmpl w:val="00000006"/>
    <w:lvl w:ilvl="0" w:tentative="0">
      <w:start w:val="5"/>
      <w:numFmt w:val="chineseCounting"/>
      <w:lvlText w:val="%1、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8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D210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6" w:lineRule="auto"/>
      <w:ind w:firstLine="480"/>
      <w:jc w:val="both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06" w:lineRule="auto"/>
      <w:jc w:val="center"/>
      <w:outlineLvl w:val="0"/>
    </w:pPr>
    <w:rPr>
      <w:rFonts w:ascii="黑体" w:hAnsi="黑体" w:eastAsia="黑体"/>
      <w:b/>
      <w:bCs/>
      <w:sz w:val="44"/>
      <w:szCs w:val="28"/>
    </w:rPr>
  </w:style>
  <w:style w:type="paragraph" w:styleId="4">
    <w:name w:val="heading 2"/>
    <w:basedOn w:val="1"/>
    <w:next w:val="1"/>
    <w:link w:val="141"/>
    <w:qFormat/>
    <w:uiPriority w:val="9"/>
    <w:pPr>
      <w:keepNext/>
      <w:keepLines/>
      <w:spacing w:before="200" w:after="0" w:line="306" w:lineRule="auto"/>
      <w:jc w:val="left"/>
      <w:outlineLvl w:val="1"/>
    </w:pPr>
    <w:rPr>
      <w:rFonts w:ascii="黑体" w:hAnsi="黑体" w:eastAsia="黑体"/>
      <w:b/>
      <w:bCs/>
      <w:sz w:val="30"/>
      <w:szCs w:val="26"/>
    </w:rPr>
  </w:style>
  <w:style w:type="paragraph" w:styleId="5">
    <w:name w:val="heading 3"/>
    <w:basedOn w:val="1"/>
    <w:next w:val="1"/>
    <w:link w:val="142"/>
    <w:qFormat/>
    <w:uiPriority w:val="9"/>
    <w:pPr>
      <w:keepNext/>
      <w:keepLines/>
      <w:spacing w:before="200" w:after="0"/>
      <w:jc w:val="left"/>
      <w:outlineLvl w:val="2"/>
    </w:pPr>
    <w:rPr>
      <w:rFonts w:ascii="黑体" w:hAnsi="黑体" w:eastAsia="黑体"/>
      <w:b/>
      <w:bCs/>
    </w:rPr>
  </w:style>
  <w:style w:type="paragraph" w:styleId="6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7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54061"/>
    </w:rPr>
  </w:style>
  <w:style w:type="paragraph" w:styleId="8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54061"/>
    </w:rPr>
  </w:style>
  <w:style w:type="paragraph" w:styleId="9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10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1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133">
    <w:name w:val="Default Paragraph Font"/>
    <w:qFormat/>
    <w:uiPriority w:val="1"/>
  </w:style>
  <w:style w:type="table" w:default="1" w:styleId="3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宋体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qFormat/>
    <w:uiPriority w:val="99"/>
    <w:pPr>
      <w:spacing w:after="120"/>
    </w:p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="Calibri" w:hAnsi="Calibri" w:eastAsia="MS Gothic"/>
      <w:i/>
      <w:iCs/>
      <w:color w:val="4F81BD"/>
      <w:spacing w:val="15"/>
      <w:szCs w:val="24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uiPriority w:val="0"/>
    <w:pPr>
      <w:spacing w:beforeAutospacing="1" w:after="0" w:afterAutospacing="1"/>
      <w:jc w:val="left"/>
    </w:pPr>
    <w:rPr>
      <w:lang w:eastAsia="zh-CN"/>
    </w:rPr>
  </w:style>
  <w:style w:type="paragraph" w:styleId="31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75E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6">
    <w:name w:val="Light Shading Accent 1"/>
    <w:basedOn w:val="33"/>
    <w:qFormat/>
    <w:uiPriority w:val="60"/>
    <w:rPr>
      <w:color w:val="376092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7">
    <w:name w:val="Light Shading Accent 2"/>
    <w:basedOn w:val="33"/>
    <w:qFormat/>
    <w:uiPriority w:val="60"/>
    <w:rPr>
      <w:color w:val="953735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8">
    <w:name w:val="Light Shading Accent 3"/>
    <w:basedOn w:val="33"/>
    <w:qFormat/>
    <w:uiPriority w:val="60"/>
    <w:rPr>
      <w:color w:val="7793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9">
    <w:name w:val="Light Shading Accent 4"/>
    <w:basedOn w:val="33"/>
    <w:qFormat/>
    <w:uiPriority w:val="60"/>
    <w:rPr>
      <w:color w:val="604A7B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0">
    <w:name w:val="Light Shading Accent 5"/>
    <w:basedOn w:val="33"/>
    <w:qFormat/>
    <w:uiPriority w:val="60"/>
    <w:rPr>
      <w:color w:val="31859C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1">
    <w:name w:val="Light Shading Accent 6"/>
    <w:basedOn w:val="33"/>
    <w:qFormat/>
    <w:uiPriority w:val="60"/>
    <w:rPr>
      <w:color w:val="E4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8">
    <w:name w:val="Light List Accent 6"/>
    <w:basedOn w:val="33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1">
    <w:name w:val="Medium List 1 Accent 1"/>
    <w:basedOn w:val="33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2">
    <w:name w:val="Medium List 1 Accent 2"/>
    <w:basedOn w:val="33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3">
    <w:name w:val="Medium List 1 Accent 3"/>
    <w:basedOn w:val="33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4">
    <w:name w:val="Medium List 1 Accent 4"/>
    <w:basedOn w:val="33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5">
    <w:name w:val="Medium List 1 Accent 5"/>
    <w:basedOn w:val="33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6">
    <w:name w:val="Medium List 1 Accent 6"/>
    <w:basedOn w:val="33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7">
    <w:name w:val="Medium List 2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1">
    <w:name w:val="Medium Grid 2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1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2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3"/>
    <w:basedOn w:val="33"/>
    <w:uiPriority w:val="68"/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4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5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6"/>
    <w:basedOn w:val="33"/>
    <w:qFormat/>
    <w:uiPriority w:val="68"/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3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9">
    <w:name w:val="Medium Grid 3 Accent 1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100">
    <w:name w:val="Medium Grid 3 Accent 2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1">
    <w:name w:val="Medium Grid 3 Accent 3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2">
    <w:name w:val="Medium Grid 3 Accent 4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3">
    <w:name w:val="Medium Grid 3 Accent 5"/>
    <w:basedOn w:val="3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5">
    <w:name w:val="Dark List"/>
    <w:basedOn w:val="33"/>
    <w:qFormat/>
    <w:uiPriority w:val="70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6">
    <w:name w:val="Dark List Accent 1"/>
    <w:basedOn w:val="33"/>
    <w:uiPriority w:val="70"/>
    <w:rPr>
      <w:color w:val="FFFFFF"/>
    </w:rPr>
    <w:tblPr/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7">
    <w:name w:val="Dark List Accent 2"/>
    <w:basedOn w:val="33"/>
    <w:qFormat/>
    <w:uiPriority w:val="70"/>
    <w:rPr>
      <w:color w:val="FFFFFF"/>
    </w:rPr>
    <w:tblPr/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8">
    <w:name w:val="Dark List Accent 3"/>
    <w:basedOn w:val="33"/>
    <w:uiPriority w:val="70"/>
    <w:rPr>
      <w:color w:val="FFFFFF"/>
    </w:rPr>
    <w:tblPr/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9">
    <w:name w:val="Dark List Accent 4"/>
    <w:basedOn w:val="33"/>
    <w:qFormat/>
    <w:uiPriority w:val="70"/>
    <w:rPr>
      <w:color w:val="FFFFFF"/>
    </w:rPr>
    <w:tblPr/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0">
    <w:name w:val="Dark List Accent 5"/>
    <w:basedOn w:val="33"/>
    <w:qFormat/>
    <w:uiPriority w:val="70"/>
    <w:rPr>
      <w:color w:val="FFFFFF"/>
    </w:rPr>
    <w:tblPr/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1">
    <w:name w:val="Dark List Accent 6"/>
    <w:basedOn w:val="33"/>
    <w:qFormat/>
    <w:uiPriority w:val="70"/>
    <w:rPr>
      <w:color w:val="FFFFFF"/>
    </w:rPr>
    <w:tblPr/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2">
    <w:name w:val="Colorful Shading"/>
    <w:basedOn w:val="33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1"/>
    <w:basedOn w:val="33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2"/>
    <w:basedOn w:val="33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3"/>
    <w:basedOn w:val="33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6">
    <w:name w:val="Colorful Shading Accent 4"/>
    <w:basedOn w:val="33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5"/>
    <w:basedOn w:val="33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6"/>
    <w:basedOn w:val="33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List"/>
    <w:basedOn w:val="33"/>
    <w:qFormat/>
    <w:uiPriority w:val="72"/>
    <w:rPr>
      <w:color w:val="000000"/>
    </w:rPr>
    <w:tblPr/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20">
    <w:name w:val="Colorful List Accent 1"/>
    <w:basedOn w:val="33"/>
    <w:qFormat/>
    <w:uiPriority w:val="72"/>
    <w:rPr>
      <w:color w:val="000000"/>
    </w:rPr>
    <w:tblPr/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1">
    <w:name w:val="Colorful List Accent 2"/>
    <w:basedOn w:val="33"/>
    <w:qFormat/>
    <w:uiPriority w:val="72"/>
    <w:rPr>
      <w:color w:val="000000"/>
    </w:rPr>
    <w:tblPr/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2">
    <w:name w:val="Colorful List Accent 3"/>
    <w:basedOn w:val="33"/>
    <w:qFormat/>
    <w:uiPriority w:val="72"/>
    <w:rPr>
      <w:color w:val="000000"/>
    </w:rPr>
    <w:tblPr/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3">
    <w:name w:val="Colorful List Accent 4"/>
    <w:basedOn w:val="33"/>
    <w:qFormat/>
    <w:uiPriority w:val="72"/>
    <w:rPr>
      <w:color w:val="000000"/>
    </w:rPr>
    <w:tblPr/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4">
    <w:name w:val="Colorful List Accent 5"/>
    <w:basedOn w:val="33"/>
    <w:qFormat/>
    <w:uiPriority w:val="72"/>
    <w:rPr>
      <w:color w:val="000000"/>
    </w:rPr>
    <w:tblPr/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5">
    <w:name w:val="Colorful List Accent 6"/>
    <w:basedOn w:val="33"/>
    <w:qFormat/>
    <w:uiPriority w:val="72"/>
    <w:rPr>
      <w:color w:val="000000"/>
    </w:rPr>
    <w:tblPr/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6">
    <w:name w:val="Colorful Grid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7">
    <w:name w:val="Colorful Grid Accent 1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8">
    <w:name w:val="Colorful Grid Accent 2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9">
    <w:name w:val="Colorful Grid Accent 3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0">
    <w:name w:val="Colorful Grid Accent 4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1">
    <w:name w:val="Colorful Grid Accent 5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2">
    <w:name w:val="Colorful Grid Accent 6"/>
    <w:basedOn w:val="3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paragraph" w:customStyle="1" w:styleId="136">
    <w:name w:val="表格"/>
    <w:basedOn w:val="1"/>
    <w:next w:val="1"/>
    <w:qFormat/>
    <w:uiPriority w:val="0"/>
    <w:pPr>
      <w:spacing w:line="240" w:lineRule="auto"/>
      <w:ind w:firstLine="0"/>
      <w:jc w:val="center"/>
    </w:pPr>
  </w:style>
  <w:style w:type="character" w:customStyle="1" w:styleId="137">
    <w:name w:val="页眉 字符"/>
    <w:basedOn w:val="133"/>
    <w:link w:val="25"/>
    <w:qFormat/>
    <w:uiPriority w:val="99"/>
  </w:style>
  <w:style w:type="character" w:customStyle="1" w:styleId="138">
    <w:name w:val="页脚 字符"/>
    <w:basedOn w:val="133"/>
    <w:link w:val="24"/>
    <w:qFormat/>
    <w:uiPriority w:val="99"/>
  </w:style>
  <w:style w:type="paragraph" w:styleId="139">
    <w:name w:val="No Spacing"/>
    <w:qFormat/>
    <w:uiPriority w:val="1"/>
    <w:rPr>
      <w:rFonts w:ascii="Cambria" w:hAnsi="Cambria" w:eastAsia="MS Mincho" w:cs="宋体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41">
    <w:name w:val="标题 2 字符"/>
    <w:basedOn w:val="133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2">
    <w:name w:val="标题 3 字符"/>
    <w:basedOn w:val="133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3">
    <w:name w:val="标题 字符"/>
    <w:basedOn w:val="133"/>
    <w:link w:val="32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19"/>
    <w:qFormat/>
    <w:uiPriority w:val="99"/>
  </w:style>
  <w:style w:type="character" w:customStyle="1" w:styleId="147">
    <w:name w:val="正文文本 2 字符"/>
    <w:basedOn w:val="133"/>
    <w:link w:val="28"/>
    <w:qFormat/>
    <w:uiPriority w:val="99"/>
  </w:style>
  <w:style w:type="character" w:customStyle="1" w:styleId="148">
    <w:name w:val="正文文本 3 字符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/>
    </w:rPr>
  </w:style>
  <w:style w:type="character" w:customStyle="1" w:styleId="152">
    <w:name w:val="标题 4 字符"/>
    <w:basedOn w:val="133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3">
    <w:name w:val="标题 5 字符"/>
    <w:basedOn w:val="133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4">
    <w:name w:val="标题 6 字符"/>
    <w:basedOn w:val="133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5">
    <w:name w:val="标题 7 字符"/>
    <w:basedOn w:val="133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6">
    <w:name w:val="标题 8 字符"/>
    <w:basedOn w:val="133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7">
    <w:name w:val="标题 9 字符"/>
    <w:basedOn w:val="133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明显引用 字符"/>
    <w:basedOn w:val="133"/>
    <w:link w:val="158"/>
    <w:qFormat/>
    <w:uiPriority w:val="30"/>
    <w:rPr>
      <w:b/>
      <w:bCs/>
      <w:i/>
      <w:iCs/>
      <w:color w:val="4F81BD"/>
    </w:rPr>
  </w:style>
  <w:style w:type="character" w:customStyle="1" w:styleId="160">
    <w:name w:val="Subtle Emphasis_0b11cbd9-a922-4254-9096-60975379a259"/>
    <w:basedOn w:val="133"/>
    <w:qFormat/>
    <w:uiPriority w:val="19"/>
    <w:rPr>
      <w:i/>
      <w:iCs/>
      <w:color w:val="7F7F7F"/>
    </w:rPr>
  </w:style>
  <w:style w:type="character" w:customStyle="1" w:styleId="161">
    <w:name w:val="Intense Emphasis_baac64f8-9baa-406b-a761-fc27d2a6b915"/>
    <w:basedOn w:val="133"/>
    <w:qFormat/>
    <w:uiPriority w:val="21"/>
    <w:rPr>
      <w:b/>
      <w:bCs/>
      <w:i/>
      <w:iCs/>
      <w:color w:val="4F81BD"/>
    </w:rPr>
  </w:style>
  <w:style w:type="character" w:customStyle="1" w:styleId="162">
    <w:name w:val="Subtle Reference_d02db390-604b-4e59-a156-8409bfcb5f2b"/>
    <w:basedOn w:val="133"/>
    <w:qFormat/>
    <w:uiPriority w:val="31"/>
    <w:rPr>
      <w:smallCaps/>
      <w:color w:val="C0504D"/>
      <w:u w:val="single"/>
    </w:rPr>
  </w:style>
  <w:style w:type="character" w:customStyle="1" w:styleId="163">
    <w:name w:val="Intense Reference_aac64dee-e6f4-4fa4-86ee-b3d76b78f6de"/>
    <w:basedOn w:val="133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_23345260-80aa-4991-844e-c799c4dfea2a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_a5be69cd-0139-4ac0-a8e6-e4d5d6b3b84c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2021</Words>
  <Characters>2470</Characters>
  <Paragraphs>315</Paragraphs>
  <TotalTime>1</TotalTime>
  <ScaleCrop>false</ScaleCrop>
  <LinksUpToDate>false</LinksUpToDate>
  <CharactersWithSpaces>2537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2026-09-29T05:24:00Z</dcterms:created>
  <dc:creator>python-docx</dc:creator>
  <dc:description>generated by python-docx</dc:description>
  <cp:lastModifiedBy>欣欣</cp:lastModifiedBy>
  <dcterms:modified xsi:type="dcterms:W3CDTF">2026-10-24T02:20:46Z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eyJoZGlkIjoiMDljYzUzMWQ4OWI0YzBkYjYzMDRhZTY5ZjZkYmFmYTgiLCJ1c2VySWQiOiIyNDE5MTI5MDAifQ==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fbb82fb9bb3b4f5a985c1cc44225cb32_23</vt:lpwstr>
  </property>
</Properties>
</file>