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FD69E">
      <w:pPr>
        <w:spacing w:before="680" w:after="200"/>
        <w:jc w:val="center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0B2545"/>
          <w:sz w:val="48"/>
        </w:rPr>
        <w:t>住房信托养老专项问卷设计说明</w:t>
      </w:r>
    </w:p>
    <w:p w14:paraId="61520563">
      <w:pPr>
        <w:pStyle w:val="3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设计目标与总体思路</w:t>
      </w:r>
    </w:p>
    <w:p w14:paraId="3B52D764">
      <w:pPr>
        <w:spacing w:after="160" w:line="319" w:lineRule="auto"/>
        <w:ind w:firstLine="440" w:firstLineChars="200"/>
        <w:jc w:val="both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本问卷服务于住房信托养老的需求识别、接受机制分析与产品优化研究。将住房资产、养老照护、失能失智后的事务安排、身后财产分配等现实问题置于同一研究框架中，考察受访者在获得基础信息和了解具体制度安排后，其风险判断、功能认知、制度信任、家庭观念与参与意愿如何变化。</w:t>
      </w:r>
    </w:p>
    <w:p w14:paraId="4279A85D">
      <w:pPr>
        <w:pStyle w:val="3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问卷结构与测量安排</w:t>
      </w:r>
    </w:p>
    <w:p w14:paraId="6B8D35C3">
      <w:pPr>
        <w:spacing w:after="160" w:line="319" w:lineRule="auto"/>
        <w:jc w:val="both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问卷共分为六个相互衔接的部分：</w:t>
      </w:r>
    </w:p>
    <w:p w14:paraId="17750B18">
      <w:pPr>
        <w:pStyle w:val="16"/>
        <w:spacing w:after="80" w:line="300" w:lineRule="auto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基础认知与初始意愿：测量受访者对房产倒按揭、住房信托养老、房产出租养老等相关模式的既有接触、了解程度及在未获得详细信息时的进一步了解意愿。</w:t>
      </w:r>
    </w:p>
    <w:p w14:paraId="24932CCB">
      <w:pPr>
        <w:pStyle w:val="16"/>
        <w:spacing w:after="80" w:line="300" w:lineRule="auto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产品说明与共同认知基础：通过书面定义、通俗解释和案例情景说明住房信托养老的房产管理、养老支付、失能安排和身后分配功能，形成后续</w:t>
      </w:r>
      <w:bookmarkStart w:id="0" w:name="_GoBack"/>
      <w:bookmarkEnd w:id="0"/>
      <w:r>
        <w:rPr>
          <w:rFonts w:ascii="Times New Roman" w:hAnsi="Times New Roman" w:eastAsia="宋体"/>
          <w:sz w:val="22"/>
        </w:rPr>
        <w:t>判断的共同信息基础。</w:t>
      </w:r>
    </w:p>
    <w:p w14:paraId="7FEFF697">
      <w:pPr>
        <w:pStyle w:val="16"/>
        <w:spacing w:after="80" w:line="300" w:lineRule="auto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随机情景与核心量表：随机展示一类退出安排和监督保障组合，再依次测量风险感知（R）、功能认知与辨识（C）、二次接受意愿（W）、制度信任（T）及家庭观念与代际影响（F）。各量表采用 5 点李克特量表，1=完全不同意，5=完全同意。</w:t>
      </w:r>
    </w:p>
    <w:p w14:paraId="2670A253">
      <w:pPr>
        <w:pStyle w:val="16"/>
        <w:spacing w:after="80" w:line="300" w:lineRule="auto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失能、监护与特殊需要：围绕意定监护认知、家庭长期照护</w:t>
      </w:r>
      <w:r>
        <w:rPr>
          <w:rFonts w:hint="eastAsia" w:ascii="Times New Roman" w:hAnsi="Times New Roman"/>
          <w:sz w:val="22"/>
          <w:lang w:val="en-US" w:eastAsia="zh-CN"/>
        </w:rPr>
        <w:t>及</w:t>
      </w:r>
      <w:r>
        <w:rPr>
          <w:rFonts w:ascii="Times New Roman" w:hAnsi="Times New Roman" w:eastAsia="宋体"/>
          <w:sz w:val="22"/>
        </w:rPr>
        <w:t>经济支持需求、健康与生活自理状况，以及未来养老费用支付方式排序，识别养老安排的触发情境。</w:t>
      </w:r>
    </w:p>
    <w:p w14:paraId="782D1E48">
      <w:pPr>
        <w:pStyle w:val="16"/>
        <w:spacing w:after="80" w:line="300" w:lineRule="auto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产品和配套服务诉求：调查可接受的服务年限、信息获取渠道及对公益宣讲、访谈或线下座谈等参与形式的偏好。</w:t>
      </w:r>
    </w:p>
    <w:p w14:paraId="27443351">
      <w:pPr>
        <w:pStyle w:val="16"/>
        <w:spacing w:after="80" w:line="300" w:lineRule="auto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基础信息与家庭资产：收集人口学、居住形态、代际支持、稳定收入、住房资产、房产使用与负债、传承偏好和投资经验，为分组比较与模型控制提供依据。</w:t>
      </w:r>
    </w:p>
    <w:p w14:paraId="23ECE1C7">
      <w:pPr>
        <w:pStyle w:val="3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随机情景实验设计</w:t>
      </w:r>
    </w:p>
    <w:p w14:paraId="3453B201">
      <w:pPr>
        <w:spacing w:after="160" w:line="319" w:lineRule="auto"/>
        <w:ind w:firstLine="440" w:firstLineChars="200"/>
        <w:jc w:val="both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本问卷采用 2×2 随机场景实验，将受访者随机分配至四种情景之一，四种情景仅在退出安排和监督保障两个维度上组合变化；场景呈现顺序随机。这样可以在其他基础产品信息相对一致的前提下，较为清晰地观察不同制度安排对风险感知、信任与二次参与意愿的影响。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400"/>
        <w:gridCol w:w="2400"/>
        <w:gridCol w:w="3110"/>
      </w:tblGrid>
      <w:tr w14:paraId="7485C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9644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情景</w:t>
            </w:r>
          </w:p>
        </w:tc>
        <w:tc>
          <w:tcPr>
            <w:tcW w:w="24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0C02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退出安排</w:t>
            </w:r>
          </w:p>
        </w:tc>
        <w:tc>
          <w:tcPr>
            <w:tcW w:w="24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15F5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监督保障</w:t>
            </w:r>
          </w:p>
        </w:tc>
        <w:tc>
          <w:tcPr>
            <w:tcW w:w="31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77F5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主要呈现内容</w:t>
            </w:r>
          </w:p>
        </w:tc>
      </w:tr>
      <w:tr w14:paraId="21E82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2070AC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情境1</w:t>
            </w:r>
          </w:p>
        </w:tc>
        <w:tc>
          <w:tcPr>
            <w:tcW w:w="24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337C85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基础退出</w:t>
            </w:r>
          </w:p>
        </w:tc>
        <w:tc>
          <w:tcPr>
            <w:tcW w:w="24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062260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基础监督</w:t>
            </w:r>
          </w:p>
        </w:tc>
        <w:tc>
          <w:tcPr>
            <w:tcW w:w="31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E794C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依合同终止；受监管并按约提供房产和资金管理信息</w:t>
            </w:r>
          </w:p>
        </w:tc>
      </w:tr>
      <w:tr w14:paraId="06C3C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08A59E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情境2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EC8EF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灵活退出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3DBE9E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基础监督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E456B8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可因家庭、医疗或养老变化申请提前退出、调整安排或提前使用部分资金；基础监管与信息提供</w:t>
            </w:r>
          </w:p>
        </w:tc>
      </w:tr>
      <w:tr w14:paraId="1F1D3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4130AE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情境3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81B54A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基础退出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0C9A2E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保障增强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966ABA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基础退出规则；增加定期说明、重要事项告知、独立第三方监督及查询投诉争议处理渠道</w:t>
            </w:r>
          </w:p>
        </w:tc>
      </w:tr>
      <w:tr w14:paraId="6E8AF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3B987B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情境4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34D652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灵活退出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534559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保障增强</w:t>
            </w:r>
          </w:p>
        </w:tc>
        <w:tc>
          <w:tcPr>
            <w:tcW w:w="31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92FA11">
            <w:pPr>
              <w:spacing w:after="0" w:line="259" w:lineRule="auto"/>
              <w:rPr>
                <w:rFonts w:ascii="Times New Roman" w:hAnsi="Times New Roman"/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灵活退出安排与保障增强机制同时具备</w:t>
            </w:r>
          </w:p>
        </w:tc>
      </w:tr>
    </w:tbl>
    <w:p w14:paraId="723D7A16">
      <w:pPr>
        <w:spacing w:after="160" w:line="319" w:lineRule="auto"/>
        <w:ind w:firstLine="440" w:firstLineChars="200"/>
        <w:jc w:val="both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该设计重点检验两类制度信号：其一，退出与调整的灵活性是否降低受访者对“将房产交由外部机构管理”的不可逆担忧；其二，信息披露、第三方监督和救济渠道等保障机制是否提升制度信任。实验结果可为合同条款、退出机制、信息披露和监督安排的优先优化提供依据。</w:t>
      </w:r>
    </w:p>
    <w:p w14:paraId="6D13F7CF">
      <w:pPr>
        <w:pStyle w:val="3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量表</w:t>
      </w:r>
      <w:r>
        <w:rPr>
          <w:rFonts w:hint="eastAsia" w:ascii="Times New Roman" w:hAnsi="Times New Roman"/>
          <w:lang w:val="en-US" w:eastAsia="zh-CN"/>
        </w:rPr>
        <w:t>版问卷设计</w:t>
      </w:r>
    </w:p>
    <w:p w14:paraId="2E6228FB">
      <w:pPr>
        <w:ind w:firstLine="440" w:firstLineChars="200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原版</w:t>
      </w:r>
      <w:r>
        <w:rPr>
          <w:rFonts w:hint="eastAsia" w:ascii="Times New Roman" w:hAnsi="Times New Roman"/>
        </w:rPr>
        <w:t xml:space="preserve">问卷以事实性问题、单项选择题和开放式需求访谈题为主，能够较好了解受访者的基本情况、产品关注点与初步态度，但对风险感知、制度信任、家庭观念、产品认知和参与意愿等潜在心理变量缺少多题项、标准化测量。因此，原有数据更适合进行描述性统计、交叉分析和初步群体比较，难以进一步检验各心理与制度因素之间的作用路径，也不利于开展信度效度检验、因子分析及结构方程模型等多变量实证分析。  </w:t>
      </w:r>
    </w:p>
    <w:p w14:paraId="2CDFE224">
      <w:pPr>
        <w:ind w:firstLine="440" w:firstLineChars="20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/>
        </w:rPr>
        <w:t>在保留原版问卷中家庭资产、养老需求、健康状况、服务偏好等事实性信息的基础上，本量表版新增并完善了风险感知、住房信托养老功能认知与辨识、制度信任、家庭观念与代际影响、接受意愿等多维度量表题项。各构念均以多个题项进行测量，并统一采用 5 点李克特量表，以提高变量测量的稳定性、可比性与统计分析价值。经预测试和信度、效度检验后，相关数据可用于探索各变量之间的直接与间接关系，为回归分析、因子分析和结构方程模型等高级统计分析提供数据基础。</w:t>
      </w:r>
    </w:p>
    <w:tbl>
      <w:tblPr>
        <w:tblStyle w:val="33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0"/>
        <w:gridCol w:w="5958"/>
      </w:tblGrid>
      <w:tr w14:paraId="2FDAE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28A8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调查内容</w:t>
            </w:r>
          </w:p>
        </w:tc>
        <w:tc>
          <w:tcPr>
            <w:tcW w:w="310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C09E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来源依据</w:t>
            </w:r>
          </w:p>
        </w:tc>
      </w:tr>
      <w:tr w14:paraId="69E0A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BD26D3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家庭情况与代际支持</w:t>
            </w:r>
          </w:p>
        </w:tc>
        <w:tc>
          <w:tcPr>
            <w:tcW w:w="310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751234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CFPS 问卷；张琪等（2015）；石振武等（2016）</w:t>
            </w:r>
          </w:p>
        </w:tc>
      </w:tr>
      <w:tr w14:paraId="0E11E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923DF0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金融与资产基础</w:t>
            </w:r>
          </w:p>
        </w:tc>
        <w:tc>
          <w:tcPr>
            <w:tcW w:w="3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65DF3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银行风险测评问卷；《金融素养调查报告》（2021）</w:t>
            </w:r>
          </w:p>
        </w:tc>
      </w:tr>
      <w:tr w14:paraId="7DBF7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16EB9B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产品信息与功能认知</w:t>
            </w:r>
          </w:p>
        </w:tc>
        <w:tc>
          <w:tcPr>
            <w:tcW w:w="3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FCF1DF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蔡俊亚等（2018）等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  <w:lang w:eastAsia="zh-CN"/>
              </w:rPr>
              <w:t>；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结合住房信托养老功能重构</w:t>
            </w:r>
          </w:p>
        </w:tc>
      </w:tr>
      <w:tr w14:paraId="4D649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596C3E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制度信任</w:t>
            </w:r>
          </w:p>
        </w:tc>
        <w:tc>
          <w:tcPr>
            <w:tcW w:w="3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D3EE2C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蔡俊亚等（2018）</w:t>
            </w:r>
          </w:p>
        </w:tc>
      </w:tr>
      <w:tr w14:paraId="07CD0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3885ABA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风险感知与家庭文化</w:t>
            </w:r>
          </w:p>
        </w:tc>
        <w:tc>
          <w:tcPr>
            <w:tcW w:w="310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9949CB">
            <w:pPr>
              <w:spacing w:after="0" w:line="259" w:lineRule="auto"/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2"/>
                <w:szCs w:val="22"/>
              </w:rPr>
              <w:t>熊景维等（2017）；蔡俊亚等（2018）</w:t>
            </w:r>
          </w:p>
        </w:tc>
      </w:tr>
    </w:tbl>
    <w:p w14:paraId="67F4D34C">
      <w:pPr>
        <w:numPr>
          <w:ilvl w:val="0"/>
          <w:numId w:val="8"/>
        </w:numPr>
        <w:wordWrap w:val="0"/>
        <w:autoSpaceDE w:val="0"/>
        <w:spacing w:before="156" w:line="240" w:lineRule="auto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熊景维, 钟涨宝, 李奥奇. 保障替代、代际契约与信息引致:“以房养老”参与意愿的影响因素——基于武汉市中老年人调查数据的实证分析[J]. 人口研究, 2017, 41(1): 46-59.</w:t>
      </w:r>
    </w:p>
    <w:p w14:paraId="5DE2DD6C">
      <w:pPr>
        <w:numPr>
          <w:ilvl w:val="0"/>
          <w:numId w:val="8"/>
        </w:numPr>
        <w:wordWrap w:val="0"/>
        <w:autoSpaceDE w:val="0"/>
        <w:spacing w:before="156" w:line="240" w:lineRule="auto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张琪, 栾海英, 张栋. 北京市老年人“以房养老”意愿及影响因素分析[J]. 调研世界, 2015, (11): 19-23. </w:t>
      </w:r>
    </w:p>
    <w:p w14:paraId="6FC75F24">
      <w:pPr>
        <w:numPr>
          <w:ilvl w:val="0"/>
          <w:numId w:val="8"/>
        </w:numPr>
        <w:wordWrap w:val="0"/>
        <w:autoSpaceDE w:val="0"/>
        <w:spacing w:before="156" w:line="240" w:lineRule="auto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石振武, 袁甜甜. 以房养老需求意愿及影响因素研究——基于有序Logistic模型[J]. 调研世界, 2016, (7): 47-52.</w:t>
      </w:r>
    </w:p>
    <w:p w14:paraId="038A0A15">
      <w:pPr>
        <w:numPr>
          <w:ilvl w:val="0"/>
          <w:numId w:val="8"/>
        </w:numPr>
        <w:wordWrap w:val="0"/>
        <w:autoSpaceDE w:val="0"/>
        <w:spacing w:before="156" w:line="24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蔡俊亚, 郭丽娜.上海城镇居民“以房养老”意愿及其影响因素[J].中国老年学杂志,2018,38(7):1757-1758.</w:t>
      </w:r>
    </w:p>
    <w:p w14:paraId="2CFBD0E8">
      <w:pPr>
        <w:pStyle w:val="3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电话版</w:t>
      </w:r>
      <w:r>
        <w:rPr>
          <w:rFonts w:hint="eastAsia" w:ascii="Times New Roman" w:hAnsi="Times New Roman"/>
          <w:lang w:val="en-US" w:eastAsia="zh-CN"/>
        </w:rPr>
        <w:t>问卷设计</w:t>
      </w:r>
    </w:p>
    <w:p w14:paraId="24B00752">
      <w:pPr>
        <w:spacing w:after="160" w:line="319" w:lineRule="auto"/>
        <w:ind w:firstLine="440" w:firstLineChars="200"/>
        <w:jc w:val="both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/>
          <w:sz w:val="22"/>
          <w:lang w:val="en-US" w:eastAsia="zh-CN"/>
        </w:rPr>
        <w:t>在量表版设计基础上，</w:t>
      </w:r>
      <w:r>
        <w:rPr>
          <w:rFonts w:ascii="Times New Roman" w:hAnsi="Times New Roman" w:eastAsia="宋体"/>
          <w:sz w:val="22"/>
        </w:rPr>
        <w:t>电话版为适应电话访谈的时间限制、口头理解负担和访员追问需要，将部分连续量表题替换为更便于口头询问、记录和回答的简明题目或分类选项。电话版因此更适合快速筛查、初步访谈和补充触达；量表版则保留多题项测量</w:t>
      </w:r>
      <w:r>
        <w:rPr>
          <w:rFonts w:hint="eastAsia" w:ascii="Times New Roman" w:hAnsi="Times New Roman"/>
          <w:sz w:val="22"/>
          <w:lang w:val="en-US" w:eastAsia="zh-CN"/>
        </w:rPr>
        <w:t>量表</w:t>
      </w:r>
      <w:r>
        <w:rPr>
          <w:rFonts w:ascii="Times New Roman" w:hAnsi="Times New Roman" w:eastAsia="宋体"/>
          <w:sz w:val="22"/>
        </w:rPr>
        <w:t>，适合开展信度效度检验、组间比较和机制分析</w:t>
      </w:r>
      <w:r>
        <w:rPr>
          <w:rFonts w:hint="eastAsia" w:ascii="Times New Roman" w:hAnsi="Times New Roman"/>
          <w:sz w:val="22"/>
          <w:lang w:eastAsia="zh-CN"/>
        </w:rPr>
        <w:t>。</w:t>
      </w:r>
    </w:p>
    <w:p w14:paraId="7EDB86AF">
      <w:pPr>
        <w:pStyle w:val="3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实施与质量控制要点</w:t>
      </w:r>
    </w:p>
    <w:p w14:paraId="3A5972CE">
      <w:pPr>
        <w:pStyle w:val="16"/>
        <w:spacing w:after="80" w:line="300" w:lineRule="auto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先</w:t>
      </w:r>
      <w:r>
        <w:rPr>
          <w:rFonts w:hint="eastAsia" w:ascii="Times New Roman" w:hAnsi="Times New Roman"/>
          <w:sz w:val="22"/>
          <w:lang w:val="en-US" w:eastAsia="zh-CN"/>
        </w:rPr>
        <w:t>简短</w:t>
      </w:r>
      <w:r>
        <w:rPr>
          <w:rFonts w:ascii="Times New Roman" w:hAnsi="Times New Roman" w:eastAsia="宋体"/>
          <w:sz w:val="22"/>
        </w:rPr>
        <w:t>说明匿名、保密和可跳答原则。</w:t>
      </w:r>
    </w:p>
    <w:p w14:paraId="0BE14471">
      <w:pPr>
        <w:pStyle w:val="16"/>
        <w:spacing w:after="80" w:line="300" w:lineRule="auto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严格执行随机分组与跳题逻辑，完整记录受访者进入的情景编号；同一受访者只呈现一个情景，避免比较性引导。</w:t>
      </w:r>
    </w:p>
    <w:p w14:paraId="4138B620">
      <w:pPr>
        <w:pStyle w:val="16"/>
        <w:spacing w:after="80" w:line="30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问卷以“住房信托养老”为统一表述，以和传统“以房养老”做区分。在正式量表前设置书面解释、通俗说明与张阿姨小情景，尽量降低专业概念理解门槛。</w:t>
      </w:r>
    </w:p>
    <w:p w14:paraId="731AEBDC">
      <w:pPr>
        <w:pStyle w:val="16"/>
        <w:spacing w:after="80" w:line="300" w:lineRule="auto"/>
        <w:rPr>
          <w:rFonts w:ascii="Times New Roman" w:hAnsi="Times New Roman"/>
        </w:rPr>
      </w:pPr>
      <w:r>
        <w:rPr>
          <w:rFonts w:ascii="Times New Roman" w:hAnsi="Times New Roman" w:eastAsia="宋体"/>
          <w:sz w:val="22"/>
        </w:rPr>
        <w:t>正式发放前宜进行小样本</w:t>
      </w:r>
      <w:r>
        <w:rPr>
          <w:rFonts w:hint="eastAsia" w:ascii="Times New Roman" w:hAnsi="Times New Roman"/>
          <w:sz w:val="22"/>
          <w:lang w:val="en-US" w:eastAsia="zh-CN"/>
        </w:rPr>
        <w:t>预调查</w:t>
      </w:r>
      <w:r>
        <w:rPr>
          <w:rFonts w:ascii="Times New Roman" w:hAnsi="Times New Roman" w:eastAsia="宋体"/>
          <w:sz w:val="22"/>
        </w:rPr>
        <w:t>，重点检验情景理解、量表题项可答性、敏感题拒答率、完成时长及随机逻辑。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8CC5D">
    <w:pPr>
      <w:pStyle w:val="24"/>
      <w:jc w:val="center"/>
    </w:pPr>
    <w:r>
      <w:rPr>
        <w:rFonts w:ascii="Calibri" w:hAnsi="Calibri" w:eastAsia="宋体"/>
        <w:color w:val="595959"/>
        <w:sz w:val="18"/>
      </w:rPr>
      <w:t>项目研究材料  |  问卷设计说明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9" w:lineRule="auto"/>
      </w:pPr>
      <w:r>
        <w:separator/>
      </w:r>
    </w:p>
  </w:footnote>
  <w:footnote w:type="continuationSeparator" w:id="1">
    <w:p>
      <w:pPr>
        <w:spacing w:before="0" w:after="0" w:line="31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8DA51">
    <w:pPr>
      <w:pStyle w:val="25"/>
      <w:jc w:val="right"/>
    </w:pPr>
    <w:r>
      <w:rPr>
        <w:rFonts w:ascii="Calibri" w:hAnsi="Calibri" w:eastAsia="宋体"/>
        <w:color w:val="595959"/>
        <w:sz w:val="18"/>
      </w:rPr>
      <w:t>住房信托养老专项问卷设计说明（量表版）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920917"/>
    <w:multiLevelType w:val="singleLevel"/>
    <w:tmpl w:val="9B920917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9607406"/>
    <w:multiLevelType w:val="singleLevel"/>
    <w:tmpl w:val="29607406"/>
    <w:lvl w:ilvl="0" w:tentative="0">
      <w:start w:val="1"/>
      <w:numFmt w:val="decimal"/>
      <w:lvlText w:val="[%1]"/>
      <w:lvlJc w:val="left"/>
      <w:pPr>
        <w:tabs>
          <w:tab w:val="left" w:pos="397"/>
        </w:tabs>
        <w:ind w:left="454" w:hanging="454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604B97"/>
    <w:rsid w:val="304363F8"/>
    <w:rsid w:val="48CA7928"/>
    <w:rsid w:val="6ACB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19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numPr>
        <w:ilvl w:val="0"/>
        <w:numId w:val="1"/>
      </w:numPr>
      <w:spacing w:before="360" w:after="200"/>
      <w:ind w:firstLine="420"/>
      <w:outlineLvl w:val="0"/>
    </w:pPr>
    <w:rPr>
      <w:rFonts w:ascii="Times New Roman" w:hAnsi="Times New Roman" w:eastAsia="宋体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link w:val="3"/>
    <w:qFormat/>
    <w:uiPriority w:val="9"/>
    <w:rPr>
      <w:rFonts w:ascii="Times New Roman" w:hAnsi="Times New Roman" w:eastAsia="宋体" w:cstheme="majorBidi"/>
      <w:b/>
      <w:bCs/>
      <w:color w:val="000000" w:themeColor="text1"/>
      <w:sz w:val="32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3001</Words>
  <Characters>3063</Characters>
  <Lines>0</Lines>
  <Paragraphs>0</Paragraphs>
  <TotalTime>1</TotalTime>
  <ScaleCrop>false</ScaleCrop>
  <LinksUpToDate>false</LinksUpToDate>
  <CharactersWithSpaces>3079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lastModifiedBy>欣欣</cp:lastModifiedBy>
  <dcterms:modified xsi:type="dcterms:W3CDTF">2026-08-23T12:48:35Z</dcterms:modified>
  <dc:subject>以房养老养老服务信托专项问卷调查 v3.4 量表版设计说明</dc:subject>
  <dc:title>住房信托养老专项问卷设计说明（量表版）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eyJoZGlkIjoiMDljYzUzMWQ4OWI0YzBkYjYzMDRhZTY5ZjZkYmFmYTgiLCJ1c2VySWQiOiIyNDE5MTI5MDAifQ==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10A56A5497F942EFB061B3F5F01D4B7E_12</vt:lpwstr>
  </property>
</Properties>
</file>