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1" w:rsidRPr="00852287" w:rsidRDefault="00852287" w:rsidP="000F3FED">
      <w:pPr>
        <w:pStyle w:val="Standard"/>
        <w:spacing w:after="240" w:line="276" w:lineRule="auto"/>
        <w:jc w:val="center"/>
        <w:rPr>
          <w:rFonts w:ascii="Arial" w:hAnsi="Arial" w:cs="Arial"/>
          <w:sz w:val="22"/>
          <w:u w:val="single"/>
        </w:rPr>
      </w:pPr>
      <w:r w:rsidRPr="00852287">
        <w:rPr>
          <w:rFonts w:ascii="Arial" w:hAnsi="Arial" w:cs="Arial"/>
          <w:sz w:val="22"/>
          <w:u w:val="single"/>
        </w:rPr>
        <w:t>PAC0 - Definició dels continguts del treball</w:t>
      </w:r>
    </w:p>
    <w:p w:rsidR="00065D11" w:rsidRPr="00852287" w:rsidRDefault="00852287" w:rsidP="00852287">
      <w:pPr>
        <w:pStyle w:val="Standard"/>
        <w:spacing w:after="240" w:line="276" w:lineRule="auto"/>
        <w:jc w:val="both"/>
        <w:rPr>
          <w:rFonts w:ascii="Arial" w:hAnsi="Arial" w:cs="Arial"/>
          <w:color w:val="000000"/>
          <w:sz w:val="22"/>
        </w:rPr>
      </w:pPr>
      <w:r w:rsidRPr="00852287">
        <w:rPr>
          <w:rFonts w:ascii="Arial" w:hAnsi="Arial" w:cs="Arial"/>
          <w:color w:val="21409A"/>
          <w:sz w:val="22"/>
        </w:rPr>
        <w:t>• Títol:</w:t>
      </w:r>
      <w:r>
        <w:rPr>
          <w:rFonts w:ascii="Arial" w:hAnsi="Arial" w:cs="Arial"/>
          <w:color w:val="21409A"/>
          <w:sz w:val="22"/>
        </w:rPr>
        <w:t xml:space="preserve"> </w:t>
      </w:r>
      <w:r w:rsidRPr="00852287">
        <w:rPr>
          <w:rFonts w:ascii="Arial" w:hAnsi="Arial" w:cs="Arial"/>
          <w:color w:val="000000"/>
          <w:sz w:val="22"/>
        </w:rPr>
        <w:t>Classificació de variants en gens implicats en la via Ras/MAPK detectades a partir de NGS.</w:t>
      </w:r>
    </w:p>
    <w:p w:rsidR="00065D11" w:rsidRPr="00852287"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21409A"/>
          <w:sz w:val="22"/>
        </w:rPr>
        <w:t>• Paraules clau:</w:t>
      </w:r>
      <w:r>
        <w:rPr>
          <w:rFonts w:ascii="Arial" w:hAnsi="Arial" w:cs="Arial"/>
          <w:color w:val="21409A"/>
          <w:sz w:val="22"/>
        </w:rPr>
        <w:t xml:space="preserve"> </w:t>
      </w:r>
      <w:proofErr w:type="spellStart"/>
      <w:r w:rsidRPr="00852287">
        <w:rPr>
          <w:rFonts w:ascii="Arial" w:hAnsi="Arial" w:cs="Arial"/>
          <w:i/>
          <w:color w:val="000000"/>
          <w:sz w:val="22"/>
        </w:rPr>
        <w:t>RASopathies</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inherited</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disorders</w:t>
      </w:r>
      <w:proofErr w:type="spellEnd"/>
      <w:r w:rsidRPr="00852287">
        <w:rPr>
          <w:rFonts w:ascii="Arial" w:hAnsi="Arial" w:cs="Arial"/>
          <w:i/>
          <w:color w:val="000000"/>
          <w:sz w:val="22"/>
        </w:rPr>
        <w:t xml:space="preserve">, NGS, </w:t>
      </w:r>
      <w:proofErr w:type="spellStart"/>
      <w:r w:rsidRPr="00852287">
        <w:rPr>
          <w:rFonts w:ascii="Arial" w:hAnsi="Arial" w:cs="Arial"/>
          <w:i/>
          <w:color w:val="000000"/>
          <w:sz w:val="22"/>
        </w:rPr>
        <w:t>sequence</w:t>
      </w:r>
      <w:proofErr w:type="spellEnd"/>
      <w:r w:rsidRPr="00852287">
        <w:rPr>
          <w:rFonts w:ascii="Arial" w:hAnsi="Arial" w:cs="Arial"/>
          <w:i/>
          <w:color w:val="000000"/>
          <w:sz w:val="22"/>
        </w:rPr>
        <w:t xml:space="preserve"> variants, </w:t>
      </w:r>
      <w:proofErr w:type="spellStart"/>
      <w:r w:rsidRPr="00852287">
        <w:rPr>
          <w:rFonts w:ascii="Arial" w:hAnsi="Arial" w:cs="Arial"/>
          <w:i/>
          <w:color w:val="000000"/>
          <w:sz w:val="22"/>
        </w:rPr>
        <w:t>classification</w:t>
      </w:r>
      <w:proofErr w:type="spellEnd"/>
      <w:r w:rsidRPr="00852287">
        <w:rPr>
          <w:rFonts w:ascii="Arial" w:hAnsi="Arial" w:cs="Arial"/>
          <w:color w:val="000000"/>
          <w:sz w:val="22"/>
        </w:rPr>
        <w:t>.</w:t>
      </w:r>
    </w:p>
    <w:p w:rsidR="00065D11" w:rsidRPr="00852287" w:rsidRDefault="00852287" w:rsidP="000F3FED">
      <w:pPr>
        <w:pStyle w:val="Standard"/>
        <w:spacing w:after="240" w:line="276" w:lineRule="auto"/>
        <w:jc w:val="both"/>
        <w:rPr>
          <w:rFonts w:ascii="Arial" w:hAnsi="Arial" w:cs="Arial"/>
          <w:color w:val="21409A"/>
          <w:sz w:val="22"/>
        </w:rPr>
      </w:pPr>
      <w:r w:rsidRPr="00852287">
        <w:rPr>
          <w:rFonts w:ascii="Arial" w:hAnsi="Arial" w:cs="Arial"/>
          <w:color w:val="21409A"/>
          <w:sz w:val="22"/>
        </w:rPr>
        <w:t>• Temàtica escollida:</w:t>
      </w:r>
    </w:p>
    <w:p w:rsidR="00065D11" w:rsidRPr="00852287"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000000"/>
          <w:sz w:val="22"/>
        </w:rPr>
        <w:t xml:space="preserve">Els laboratoris moleculars es troben amb que cada vegada detecten més variants durant la seqüenciació de gens associats a malalties genètiques. Mentre que alguns fenotips s’associen a un sol gen, molts altres s’associen a múltiples gens. La comprensió de la importància clínica de qualsevol variant de seqüència cau al llarg d'un gradient, que va des d'aquells en què la variant és gairebé segur que és patogènica per a un malaltia a aquells que són pràcticament benignes. Les recomanacions de la ACMG (de l’anglès, </w:t>
      </w:r>
      <w:r w:rsidRPr="00852287">
        <w:rPr>
          <w:rFonts w:ascii="Arial" w:hAnsi="Arial" w:cs="Arial"/>
          <w:i/>
          <w:color w:val="000000"/>
          <w:sz w:val="22"/>
        </w:rPr>
        <w:t xml:space="preserve">American </w:t>
      </w:r>
      <w:proofErr w:type="spellStart"/>
      <w:r w:rsidRPr="00852287">
        <w:rPr>
          <w:rFonts w:ascii="Arial" w:hAnsi="Arial" w:cs="Arial"/>
          <w:i/>
          <w:color w:val="000000"/>
          <w:sz w:val="22"/>
        </w:rPr>
        <w:t>College</w:t>
      </w:r>
      <w:proofErr w:type="spellEnd"/>
      <w:r w:rsidRPr="00852287">
        <w:rPr>
          <w:rFonts w:ascii="Arial" w:hAnsi="Arial" w:cs="Arial"/>
          <w:i/>
          <w:color w:val="000000"/>
          <w:sz w:val="22"/>
        </w:rPr>
        <w:t xml:space="preserve"> of Medical </w:t>
      </w:r>
      <w:proofErr w:type="spellStart"/>
      <w:r w:rsidRPr="00852287">
        <w:rPr>
          <w:rFonts w:ascii="Arial" w:hAnsi="Arial" w:cs="Arial"/>
          <w:i/>
          <w:color w:val="000000"/>
          <w:sz w:val="22"/>
        </w:rPr>
        <w:t>Genetics</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and</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Genomics</w:t>
      </w:r>
      <w:proofErr w:type="spellEnd"/>
      <w:r w:rsidRPr="00852287">
        <w:rPr>
          <w:rFonts w:ascii="Arial" w:hAnsi="Arial" w:cs="Arial"/>
          <w:color w:val="000000"/>
          <w:sz w:val="22"/>
        </w:rPr>
        <w:t>) proporcionen unes pautes per a la classificació de variants de seqüència mitjançant criteris formats per la combinació d’opinions d’experts juntament amb dades empíriques. Aquestes pautes estan pensades per a la interpretació de variant observades en pacients amb malalties hereditàries i pretenen determinar quan una variant en un gen clau de la malaltia pot ser patogènica per aquesta. I proporcionen dos grups de criteris: el primer per la classificació de variants patogèniques o probablement patogèniques i el segon per la classificació de variables benignes o probablement benignes; els qual es combinen segons les normes descrites a la taula 1 per la classificació de variants de seqüències</w:t>
      </w:r>
      <w:r w:rsidR="002E015D">
        <w:rPr>
          <w:rFonts w:ascii="Arial" w:hAnsi="Arial" w:cs="Arial"/>
          <w:color w:val="000000"/>
          <w:sz w:val="22"/>
        </w:rPr>
        <w:t xml:space="preserve"> </w:t>
      </w:r>
      <w:r w:rsidR="002E015D">
        <w:rPr>
          <w:rFonts w:ascii="Arial" w:hAnsi="Arial" w:cs="Arial"/>
          <w:color w:val="000000"/>
          <w:sz w:val="22"/>
        </w:rPr>
        <w:fldChar w:fldCharType="begin" w:fldLock="1"/>
      </w:r>
      <w:r w:rsidR="002E015D">
        <w:rPr>
          <w:rFonts w:ascii="Arial" w:hAnsi="Arial" w:cs="Arial"/>
          <w:color w:val="000000"/>
          <w:sz w:val="22"/>
        </w:rPr>
        <w:instrText>ADDIN CSL_CITATION {"citationItems":[{"id":"ITEM-1","itemData":{"DOI":"10.1038/gim.2015.30","ISSN":"1530-0366 (Electronic)","PMID":"25741868","abstract":"The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author":[{"dropping-particle":"","family":"Richards","given":"Sue","non-dropping-particle":"","parse-names":false,"suffix":""},{"dropping-particle":"","family":"Aziz","given":"Nazneen","non-dropping-particle":"","parse-names":false,"suffix":""},{"dropping-particle":"","family":"Bale","given":"Sherri","non-dropping-particle":"","parse-names":false,"suffix":""},{"dropping-particle":"","family":"Bick","given":"David","non-dropping-particle":"","parse-names":false,"suffix":""},{"dropping-particle":"","family":"Das","given":"Soma","non-dropping-particle":"","parse-names":false,"suffix":""},{"dropping-particle":"","family":"Gastier-Foster","given":"Julie","non-dropping-particle":"","parse-names":false,"suffix":""},{"dropping-particle":"","family":"Grody","given":"Wayne W","non-dropping-particle":"","parse-names":false,"suffix":""},{"dropping-particle":"","family":"Hegde","given":"Madhuri","non-dropping-particle":"","parse-names":false,"suffix":""},{"dropping-particle":"","family":"Lyon","given":"Elaine","non-dropping-particle":"","parse-names":false,"suffix":""},{"dropping-particle":"","family":"Spector","given":"Elaine","non-dropping-particle":"","parse-names":false,"suffix":""},{"dropping-particle":"","family":"Voelkerding","given":"Karl","non-dropping-particle":"","parse-names":false,"suffix":""},{"dropping-particle":"","family":"Rehm","given":"Heidi L","non-dropping-particle":"","parse-names":false,"suffix":""}],"container-title":"Genetics in medicine : official journal of the American College of Medical Genetics","id":"ITEM-1","issue":"5","issued":{"date-parts":[["2015","5"]]},"language":"eng","page":"405-424","title":"Standards and guidelines for the interpretation of sequence variants: a joint  consensus recommendation of the American College of Medical Genetics and Genomics and the Association for Molecular Pathology.","type":"article-journal","volume":"17"},"uris":["http://www.mendeley.com/documents/?uuid=4c08762c-9521-4a89-9114-6901b2c3e934"]}],"mendeley":{"formattedCitation":"[1]","plainTextFormattedCitation":"[1]","previouslyFormattedCitation":"[1]"},"properties":{"noteIndex":0},"schema":"https://github.com/citation-style-language/schema/raw/master/csl-citation.json"}</w:instrText>
      </w:r>
      <w:r w:rsidR="002E015D">
        <w:rPr>
          <w:rFonts w:ascii="Arial" w:hAnsi="Arial" w:cs="Arial"/>
          <w:color w:val="000000"/>
          <w:sz w:val="22"/>
        </w:rPr>
        <w:fldChar w:fldCharType="separate"/>
      </w:r>
      <w:r w:rsidR="002E015D" w:rsidRPr="002E015D">
        <w:rPr>
          <w:rFonts w:ascii="Arial" w:hAnsi="Arial" w:cs="Arial"/>
          <w:noProof/>
          <w:color w:val="000000"/>
          <w:sz w:val="22"/>
        </w:rPr>
        <w:t>[1]</w:t>
      </w:r>
      <w:r w:rsidR="002E015D">
        <w:rPr>
          <w:rFonts w:ascii="Arial" w:hAnsi="Arial" w:cs="Arial"/>
          <w:color w:val="000000"/>
          <w:sz w:val="22"/>
        </w:rPr>
        <w:fldChar w:fldCharType="end"/>
      </w:r>
      <w:r w:rsidRPr="00852287">
        <w:rPr>
          <w:rFonts w:ascii="Arial" w:hAnsi="Arial" w:cs="Arial"/>
          <w:color w:val="000000"/>
          <w:sz w:val="22"/>
        </w:rPr>
        <w:t>.</w:t>
      </w:r>
    </w:p>
    <w:p w:rsidR="00065D11" w:rsidRPr="00852287" w:rsidRDefault="00852287" w:rsidP="00852287">
      <w:pPr>
        <w:pStyle w:val="Standard"/>
        <w:spacing w:line="276" w:lineRule="auto"/>
        <w:jc w:val="center"/>
        <w:rPr>
          <w:rFonts w:ascii="Arial" w:hAnsi="Arial" w:cs="Arial"/>
          <w:color w:val="000000"/>
          <w:sz w:val="22"/>
        </w:rPr>
      </w:pPr>
      <w:r w:rsidRPr="00852287">
        <w:rPr>
          <w:rFonts w:ascii="Arial" w:hAnsi="Arial" w:cs="Arial"/>
          <w:color w:val="000000"/>
          <w:sz w:val="22"/>
        </w:rPr>
        <w:t>Taula 1. Normes de combinació de criteris per la classificació de variants de seqüències</w:t>
      </w:r>
      <w:r w:rsidR="002E015D">
        <w:rPr>
          <w:rFonts w:ascii="Arial" w:hAnsi="Arial" w:cs="Arial"/>
          <w:color w:val="000000"/>
          <w:sz w:val="22"/>
        </w:rPr>
        <w:t xml:space="preserve"> </w:t>
      </w:r>
      <w:r w:rsidR="002E015D">
        <w:rPr>
          <w:rFonts w:ascii="Arial" w:hAnsi="Arial" w:cs="Arial"/>
          <w:color w:val="000000"/>
          <w:sz w:val="22"/>
        </w:rPr>
        <w:fldChar w:fldCharType="begin" w:fldLock="1"/>
      </w:r>
      <w:r w:rsidR="002E015D">
        <w:rPr>
          <w:rFonts w:ascii="Arial" w:hAnsi="Arial" w:cs="Arial"/>
          <w:color w:val="000000"/>
          <w:sz w:val="22"/>
        </w:rPr>
        <w:instrText>ADDIN CSL_CITATION {"citationItems":[{"id":"ITEM-1","itemData":{"DOI":"10.1038/gim.2015.30","ISSN":"1530-0366 (Electronic)","PMID":"25741868","abstract":"The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author":[{"dropping-particle":"","family":"Richards","given":"Sue","non-dropping-particle":"","parse-names":false,"suffix":""},{"dropping-particle":"","family":"Aziz","given":"Nazneen","non-dropping-particle":"","parse-names":false,"suffix":""},{"dropping-particle":"","family":"Bale","given":"Sherri","non-dropping-particle":"","parse-names":false,"suffix":""},{"dropping-particle":"","family":"Bick","given":"David","non-dropping-particle":"","parse-names":false,"suffix":""},{"dropping-particle":"","family":"Das","given":"Soma","non-dropping-particle":"","parse-names":false,"suffix":""},{"dropping-particle":"","family":"Gastier-Foster","given":"Julie","non-dropping-particle":"","parse-names":false,"suffix":""},{"dropping-particle":"","family":"Grody","given":"Wayne W","non-dropping-particle":"","parse-names":false,"suffix":""},{"dropping-particle":"","family":"Hegde","given":"Madhuri","non-dropping-particle":"","parse-names":false,"suffix":""},{"dropping-particle":"","family":"Lyon","given":"Elaine","non-dropping-particle":"","parse-names":false,"suffix":""},{"dropping-particle":"","family":"Spector","given":"Elaine","non-dropping-particle":"","parse-names":false,"suffix":""},{"dropping-particle":"","family":"Voelkerding","given":"Karl","non-dropping-particle":"","parse-names":false,"suffix":""},{"dropping-particle":"","family":"Rehm","given":"Heidi L","non-dropping-particle":"","parse-names":false,"suffix":""}],"container-title":"Genetics in medicine : official journal of the American College of Medical Genetics","id":"ITEM-1","issue":"5","issued":{"date-parts":[["2015","5"]]},"language":"eng","page":"405-424","title":"Standards and guidelines for the interpretation of sequence variants: a joint  consensus recommendation of the American College of Medical Genetics and Genomics and the Association for Molecular Pathology.","type":"article-journal","volume":"17"},"uris":["http://www.mendeley.com/documents/?uuid=4c08762c-9521-4a89-9114-6901b2c3e934"]}],"mendeley":{"formattedCitation":"[1]","plainTextFormattedCitation":"[1]","previouslyFormattedCitation":"[1]"},"properties":{"noteIndex":0},"schema":"https://github.com/citation-style-language/schema/raw/master/csl-citation.json"}</w:instrText>
      </w:r>
      <w:r w:rsidR="002E015D">
        <w:rPr>
          <w:rFonts w:ascii="Arial" w:hAnsi="Arial" w:cs="Arial"/>
          <w:color w:val="000000"/>
          <w:sz w:val="22"/>
        </w:rPr>
        <w:fldChar w:fldCharType="separate"/>
      </w:r>
      <w:r w:rsidR="002E015D" w:rsidRPr="002E015D">
        <w:rPr>
          <w:rFonts w:ascii="Arial" w:hAnsi="Arial" w:cs="Arial"/>
          <w:noProof/>
          <w:color w:val="000000"/>
          <w:sz w:val="22"/>
        </w:rPr>
        <w:t>[1]</w:t>
      </w:r>
      <w:r w:rsidR="002E015D">
        <w:rPr>
          <w:rFonts w:ascii="Arial" w:hAnsi="Arial" w:cs="Arial"/>
          <w:color w:val="000000"/>
          <w:sz w:val="22"/>
        </w:rPr>
        <w:fldChar w:fldCharType="end"/>
      </w:r>
      <w:r w:rsidRPr="00852287">
        <w:rPr>
          <w:rFonts w:ascii="Arial" w:hAnsi="Arial" w:cs="Arial"/>
          <w:color w:val="000000"/>
          <w:sz w:val="22"/>
        </w:rPr>
        <w:t>.</w:t>
      </w:r>
    </w:p>
    <w:p w:rsidR="005057BF" w:rsidRPr="00852287" w:rsidRDefault="005057BF" w:rsidP="000F3FED">
      <w:pPr>
        <w:pStyle w:val="Standard"/>
        <w:spacing w:after="240" w:line="276" w:lineRule="auto"/>
        <w:jc w:val="center"/>
        <w:rPr>
          <w:rFonts w:ascii="Arial" w:hAnsi="Arial" w:cs="Arial"/>
          <w:color w:val="000000"/>
          <w:sz w:val="22"/>
        </w:rPr>
      </w:pPr>
      <w:r w:rsidRPr="00852287">
        <w:rPr>
          <w:rFonts w:ascii="Arial" w:hAnsi="Arial" w:cs="Arial"/>
          <w:noProof/>
          <w:color w:val="000000"/>
          <w:sz w:val="22"/>
          <w:lang w:val="es-ES" w:eastAsia="es-ES" w:bidi="ar-SA"/>
        </w:rPr>
        <w:drawing>
          <wp:inline distT="0" distB="0" distL="0" distR="0" wp14:anchorId="316C25C7" wp14:editId="1CF2083B">
            <wp:extent cx="2988000" cy="4783853"/>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000" cy="4783853"/>
                    </a:xfrm>
                    <a:prstGeom prst="rect">
                      <a:avLst/>
                    </a:prstGeom>
                    <a:noFill/>
                    <a:ln>
                      <a:noFill/>
                    </a:ln>
                  </pic:spPr>
                </pic:pic>
              </a:graphicData>
            </a:graphic>
          </wp:inline>
        </w:drawing>
      </w:r>
    </w:p>
    <w:p w:rsidR="00065D11" w:rsidRPr="00852287"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000000"/>
          <w:sz w:val="22"/>
        </w:rPr>
        <w:lastRenderedPageBreak/>
        <w:t xml:space="preserve">Les conegudes com a </w:t>
      </w:r>
      <w:proofErr w:type="spellStart"/>
      <w:r w:rsidRPr="00852287">
        <w:rPr>
          <w:rFonts w:ascii="Arial" w:hAnsi="Arial" w:cs="Arial"/>
          <w:color w:val="000000"/>
          <w:sz w:val="22"/>
        </w:rPr>
        <w:t>RASopaties</w:t>
      </w:r>
      <w:proofErr w:type="spellEnd"/>
      <w:r w:rsidRPr="00852287">
        <w:rPr>
          <w:rFonts w:ascii="Arial" w:hAnsi="Arial" w:cs="Arial"/>
          <w:color w:val="000000"/>
          <w:sz w:val="22"/>
        </w:rPr>
        <w:t xml:space="preserve"> són un grup de malalties fenotípicament relacionades provocades per variants patogèniques en gens de la línia germinal implicats en la via de senyalització Ras/MAPK (de l’anglès, </w:t>
      </w:r>
      <w:r w:rsidRPr="00852287">
        <w:rPr>
          <w:rFonts w:ascii="Arial" w:hAnsi="Arial" w:cs="Arial"/>
          <w:i/>
          <w:color w:val="000000"/>
          <w:sz w:val="22"/>
        </w:rPr>
        <w:t>Ras/</w:t>
      </w:r>
      <w:proofErr w:type="spellStart"/>
      <w:r w:rsidRPr="00852287">
        <w:rPr>
          <w:rFonts w:ascii="Arial" w:hAnsi="Arial" w:cs="Arial"/>
          <w:i/>
          <w:color w:val="000000"/>
          <w:sz w:val="22"/>
        </w:rPr>
        <w:t>mitogen-activated</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protein</w:t>
      </w:r>
      <w:proofErr w:type="spellEnd"/>
      <w:r w:rsidRPr="00852287">
        <w:rPr>
          <w:rFonts w:ascii="Arial" w:hAnsi="Arial" w:cs="Arial"/>
          <w:i/>
          <w:color w:val="000000"/>
          <w:sz w:val="22"/>
        </w:rPr>
        <w:t xml:space="preserve"> kinase</w:t>
      </w:r>
      <w:r w:rsidRPr="00852287">
        <w:rPr>
          <w:rFonts w:ascii="Arial" w:hAnsi="Arial" w:cs="Arial"/>
          <w:color w:val="000000"/>
          <w:sz w:val="22"/>
        </w:rPr>
        <w:t xml:space="preserve">). Aquest grup de malalties està format per: la síndrome de </w:t>
      </w:r>
      <w:proofErr w:type="spellStart"/>
      <w:r w:rsidRPr="00852287">
        <w:rPr>
          <w:rFonts w:ascii="Arial" w:hAnsi="Arial" w:cs="Arial"/>
          <w:color w:val="000000"/>
          <w:sz w:val="22"/>
        </w:rPr>
        <w:t>Noonan</w:t>
      </w:r>
      <w:proofErr w:type="spellEnd"/>
      <w:r w:rsidRPr="00852287">
        <w:rPr>
          <w:rFonts w:ascii="Arial" w:hAnsi="Arial" w:cs="Arial"/>
          <w:color w:val="000000"/>
          <w:sz w:val="22"/>
        </w:rPr>
        <w:t xml:space="preserve"> (NS), la síndrome LEOPARD (NS amb múltiples pigues), la síndrome de </w:t>
      </w:r>
      <w:proofErr w:type="spellStart"/>
      <w:r w:rsidRPr="00852287">
        <w:rPr>
          <w:rFonts w:ascii="Arial" w:hAnsi="Arial" w:cs="Arial"/>
          <w:color w:val="000000"/>
          <w:sz w:val="22"/>
        </w:rPr>
        <w:t>Costello</w:t>
      </w:r>
      <w:proofErr w:type="spellEnd"/>
      <w:r w:rsidRPr="00852287">
        <w:rPr>
          <w:rFonts w:ascii="Arial" w:hAnsi="Arial" w:cs="Arial"/>
          <w:color w:val="000000"/>
          <w:sz w:val="22"/>
        </w:rPr>
        <w:t xml:space="preserve">, la síndrome </w:t>
      </w:r>
      <w:proofErr w:type="spellStart"/>
      <w:r w:rsidRPr="00852287">
        <w:rPr>
          <w:rFonts w:ascii="Arial" w:hAnsi="Arial" w:cs="Arial"/>
          <w:color w:val="000000"/>
          <w:sz w:val="22"/>
        </w:rPr>
        <w:t>cardiofaciocutània</w:t>
      </w:r>
      <w:proofErr w:type="spellEnd"/>
      <w:r w:rsidRPr="00852287">
        <w:rPr>
          <w:rFonts w:ascii="Arial" w:hAnsi="Arial" w:cs="Arial"/>
          <w:color w:val="000000"/>
          <w:sz w:val="22"/>
        </w:rPr>
        <w:t xml:space="preserve"> (CFC) i la síndrome </w:t>
      </w:r>
      <w:proofErr w:type="spellStart"/>
      <w:r w:rsidRPr="00852287">
        <w:rPr>
          <w:rFonts w:ascii="Arial" w:hAnsi="Arial" w:cs="Arial"/>
          <w:color w:val="000000"/>
          <w:sz w:val="22"/>
        </w:rPr>
        <w:t>Noonan</w:t>
      </w:r>
      <w:proofErr w:type="spellEnd"/>
      <w:r w:rsidRPr="00852287">
        <w:rPr>
          <w:rFonts w:ascii="Arial" w:hAnsi="Arial" w:cs="Arial"/>
          <w:color w:val="000000"/>
          <w:sz w:val="22"/>
        </w:rPr>
        <w:t xml:space="preserve">-like. Les característiques fenotípiques que comparteixen inclouen: un creixement deficient, anomalies cardíaques, anomalies ectodèrmiques, dèficits del desenvolupament neurològic i augment del risc tumoral </w:t>
      </w:r>
      <w:r w:rsidR="00B818BD" w:rsidRPr="00852287">
        <w:rPr>
          <w:rFonts w:ascii="Arial" w:hAnsi="Arial" w:cs="Arial"/>
          <w:color w:val="000000"/>
          <w:sz w:val="22"/>
        </w:rPr>
        <w:fldChar w:fldCharType="begin" w:fldLock="1"/>
      </w:r>
      <w:r w:rsidR="002E015D">
        <w:rPr>
          <w:rFonts w:ascii="Arial" w:hAnsi="Arial" w:cs="Arial"/>
          <w:color w:val="000000"/>
          <w:sz w:val="22"/>
        </w:rPr>
        <w:instrText xml:space="preserve">ADDIN CSL_CITATION {"citationItems":[{"id":"ITEM-1","itemData":{"DOI":"10.1136/jmg.2007.050450","ISSN":"1468-6244 (Electronic)","PMID":"17704260","abstract":"Cardio-facio-cutaneous (CFC) syndrome, Noonan syndrome (NS), and Costello syndrome  (CS) are clinically related developmental disorders that have been recently linked to mutations in the RAS/MEK/ERK signalling pathway. This study was a mutation analysis of the KRAS, BRAF, MEK1 and MEK2 genes in a total of 130 patients (40 patients with a clinical diagnosis of CFC, 20 patients without HRAS mutations from the French Costello family support group, and 70 patients with NS without PTPN11 or SOS1 mutations). BRAF mutations were found in 14/40 (35%) patients with CFC and 8/20 (40%) HRAS-negative patients with CS. KRAS mutations were found in 1/40 (2.5%) patients with CFC, 2/20 (10%) HRAS-negative patients with CS and 4/70 patients with NS (5.7%). MEK1 mutations were found in 4/40 patients with CFC (10%), 4/20 (20%) HRAS-negative patients with CS and 3/70 (4.3%) patients with NS, and MEK2 mutations in 4/40 (10%) patients with CFC. Analysis of the major phenotypic features suggests significant clinical overlap between CS and CFC. The phenotype associated with MEK mutations seems less severe, and is compatible with normal mental development. Features considered distinctive for CS were also found to be associated with BRAF or MEK mutations. Because of its particular cancer risk, the term \"Costello syndrome\" should only be used for patients with proven HRAS mutation. These results confirm that KRAS is a minor contributor to NS and show that MEK is involved in some cases of NS, demonstrating a phenotypic continuum between the clinical entities. Although some associated features appear to be characteristic of a specific gene, no simple rule exists to distinguish NS from CFC easily.","author":[{"dropping-particle":"","family":"Nava","given":"Caroline","non-dropping-particle":"","parse-names":false,"suffix":""},{"dropping-particle":"","family":"Hanna","given":"Nadine","non-dropping-particle":"","parse-names":false,"suffix":""},{"dropping-particle":"","family":"Michot","given":"Caroline","non-dropping-particle":"","parse-names":false,"suffix":""},{"dropping-particle":"","family":"Pereira","given":"Sabrina","non-dropping-particle":"","parse-names":false,"suffix":""},{"dropping-particle":"","family":"Pouvreau","given":"Nathalie","non-dropping-particle":"","parse-names":false,"suffix":""},{"dropping-particle":"","family":"Niihori","given":"Tetsuya","non-dropping-particle":"","parse-names":false,"suffix":""},{"dropping-particle":"","family":"Aoki","given":"Yoko","non-dropping-particle":"","parse-names":false,"suffix":""},{"dropping-particle":"","family":"Matsubara","given":"Yoichi","non-dropping-particle":"","parse-names":false,"suffix":""},{"dropping-particle":"","family":"Arveiler","given":"Benoit","non-dropping-particle":"","parse-names":false,"suffix":""},{"dropping-particle":"","family":"Lacombe","given":"Didier","non-dropping-particle":"","parse-names":false,"suffix":""},{"dropping-particle":"","family":"Pasmant","given":"Eric","non-dropping-particle":"","parse-names":false,"suffix":""},{"dropping-particle":"","family":"Parfait","given":"Béatrice","non-dropping-particle":"","parse-names":false,"suffix":""},{"dropping-particle":"","family":"Baumann","given":"Clarisse","non-dropping-particle":"","parse-names":false,"suffix":""},{"dropping-particle":"","family":"Héron","given":"Delphine","non-dropping-particle":"","parse-names":false,"suffix":""},{"dropping-particle":"","family":"Sigaudy","given":"Sabine","non-dropping-particle":"","parse-names":false,"suffix":""},{"dropping-particle":"","family":"Toutain","given":"Annick","non-dropping-particle":"","parse-names":false,"suffix":""},{"dropping-particle":"","family":"Rio","given":"Marlène","non-dropping-particle":"","parse-names":false,"suffix":""},{"dropping-particle":"","family":"Goldenberg","given":"Alice","non-dropping-particle":"","parse-names":false,"suffix":""},{"dropping-particle":"","family":"Leheup","given":"Bruno","non-dropping-particle":"","parse-names":false,"suffix":""},{"dropping-particle":"","family":"Verloes","given":"Alain","non-dropping-particle":"","parse-names":false,"suffix":""},{"dropping-particle":"","family":"Cavé","given":"Hélène","non-dropping-particle":"","parse-names":false,"suffix":""}],"container-title":"Journal of medical genetics","id":"ITEM-1","issue":"12","issued":{"date-parts":[["2007","12"]]},"language":"eng","page":"763-771","title":"Cardio-facio-cutaneous and Noonan syndromes due to mutations in the RAS/MAPK  signalling pathway: genotype-phenotype relationships and overlap with Costello syndrome.","type":"article-journal","volume":"44"},"uris":["http://www.mendeley.com/documents/?uuid=a0b95823-5244-4ae7-a1a3-ff456b1c1e48"]},{"id":"ITEM-2","itemData":{"DOI":"10.1542/peds.2013-3189","ISSN":"1098-4275 (Electronic)","PMID":"25180280","abstract":"Cardio-facio-cutaneous syndrome (CFC) is one of the RASopathies that bears many  clinical features in common with the other syndromes in this group, most notably Noonan syndrome and Costello syndrome. CFC is genetically heterogeneous and caused by gene mutations in the Ras/mitogen-activated protein kinase pathway. The major features of CFC include characteristic craniofacial dysmorphology, congenital heart disease, dermatologic abnormalities, growth retardation, and intellectual disability. It is essential that this condition be differentiated from other RASopathies, as a correct diagnosis is important for appropriate medical management and determining recurrence risk. Children and adults with CFC require multidisciplinary care from specialists, and the need for comprehensive management has been apparent to families and health care professionals caring for affected individuals. To address this need, CFC International, a nonprofit family support organization that provides a forum for information, support, and facilitation of research in basic medical and social issues affecting individuals with CFC, organized a consensus conference. Experts in multiple medical specialties provided clinical management guidelines for pediatricians and other care providers. These guidelines will assist in an accurate diagnosis of individuals with CFC, provide best practice recommendations, and facilitate long-term medical care.","author":[{"dropping-particle":"","family":"Pierpont","given":"Mary Ella M","non-dropping-particle":"","parse-names":false,"suffix":""},{"dropping-particle":"","family":"Magoulas","given":"Pilar L","non-dropping-particle":"","parse-names":false,"suffix":""},{"dropping-particle":"","family":"Adi","given":"Saleh","non-dropping-particle":"","parse-names":false,"suffix":""},{"dropping-particle":"","family":"Kavamura","given":"Maria Ines","non-dropping-particle":"","parse-names":false,"suffix":""},{"dropping-particle":"","family":"Neri","given":"Giovanni","non-dropping-particle":"","parse-names":false,"suffix":""},{"dropping-particle":"","family":"Noonan","given":"Jacqueline","non-dropping-particle":"","parse-names":false,"suffix":""},{"dropping-particle":"","family":"Pierpont","given":"Elizabeth I","non-dropping-particle":"","parse-names":false,"suffix":""},{"dropping-particle":"","family":"Reinker","given":"Kent","non-dropping-particle":"","parse-names":false,"suffix":""},{"dropping-particle":"","family":"Roberts","given":"Amy E","non-dropping-particle":"","parse-names":false,"suffix":""},{"dropping-particle":"","family":"Shankar","given":"Suma","non-dropping-particle":"","parse-names":false,"suffix":""},{"dropping-particle":"","family":"Sullivan","given":"Joseph","non-dropping-particle":"","parse-names":false,"suffix":""},{"dropping-particle":"","family":"Wolford","given":"Melinda","non-dropping-particle":"","parse-names":false,"suffix":""},{"dropping-particle":"","family":"Conger","given":"Brenda","non-dropping-particle":"","parse-names":false,"suffix":""},{"dropping-particle":"","family":"Santa Cruz","given":"Molly","non-dropping-particle":"","parse-names":false,"suffix":""},{"dropping-particle":"","family":"Rauen","given":"Katherine A","non-dropping-particle":"","parse-names":false,"suffix":""}],"container-title":"Pediatrics","id":"ITEM-2","issue":"4","issued":{"date-parts":[["2014","10"]]},"language":"eng","page":"e1149-62","title":"Cardio-facio-cutaneous syndrome: clinical features, diagnosis, and management  guidelines.","type":"article-journal","volume":"134"},"uris":["http://www.mendeley.com/documents/?uuid=d38117e2-e505-44e9-89ab-82e60022cf80"]},{"id":"ITEM-3","itemData":{"DOI":"10.1146/annurev-genom-091212-153523","ISSN":"1545-293X (Electronic)","PMID":"23875798","abstract":"The RASopathies are a clinically defined group of medical genetic syndromes caused  by germline mutations in genes that encode components or regulators of the Ras/mitogen-activated protein kinase (MAPK) pathway. These disorders include neurofibromatosis type 1, Noonan syndrome, Noonan syndrome with multiple lentigines, capillary malformation-arteriovenous malformation syndrome, Costello syndrome, cardio-facio-cutaneous syndrome, and Legius syndrome. Because of the common underlying Ras/MAPK pathway dysregulation, the RASopathies exhibit numerous overlapping phenotypic features. The Ras/MAPK pathway plays an essential role in regulating the cell cycle and cellular growth, differentiation, and senescence, all of which are critical to normal development. Therefore, it is not surprising that Ras/MAPK pathway dysregulation has profound deleterious effects on both embryonic and later stages of development. The Ras/MAPK pathway has been well studied in cancer and is an attractive target for small-molecule inhibition to treat various malignancies. The use of these molecules to ameliorate developmental defects in the RASopathies is under consideration.","author":[{"dropping-particle":"","family":"Rauen","given":"Katherine A","non-dropping-particle":"","parse-names":false,"suffix":""}],"container-title":"Annual review of genomics and human genetics","id":"ITEM-3","issued":{"date-parts":[["2013"]]},"language":"eng","page":"355-369","title":"The RASopathies.","type":"article-journal","volume":"14"},"uris":["http://www.mendeley.com/documents/?uuid=1a43d2fa-cb7e-42b3-8c12-6c11805b35cb"]},{"id":"ITEM-4","itemData":{"DOI":"10.1542/peds.2009-3207","ISSN":"1098-4275 (Electronic)","PMID":"20876176","abstract":"Noonan syndrome (NS) is a common, clinically and genetically heterogeneous condition  characterized by distinctive facial features, short stature, chest deformity, congenital heart disease, and other comorbidities. Gene mutations identified in individuals with the NS phenotype are involved in the Ras/MAPK (mitogen-activated protein kinase) signal transduction pathway and currently explain </w:instrText>
      </w:r>
      <w:r w:rsidR="002E015D">
        <w:rPr>
          <w:rFonts w:ascii="Cambria Math" w:hAnsi="Cambria Math" w:cs="Cambria Math"/>
          <w:color w:val="000000"/>
          <w:sz w:val="22"/>
        </w:rPr>
        <w:instrText>∼</w:instrText>
      </w:r>
      <w:r w:rsidR="002E015D">
        <w:rPr>
          <w:rFonts w:ascii="Arial" w:hAnsi="Arial" w:cs="Arial"/>
          <w:color w:val="000000"/>
          <w:sz w:val="22"/>
        </w:rPr>
        <w:instrText>61% of NS cases. Thus, NS frequently remains a clinical diagnosis. Because of the variability in presentation and the need for multidisciplinary care, it is essential that the condition be identified and managed comprehensively. The Noonan Syndrome Support Group (NSSG) is a nonprofit organization committed to providing support, current information, and understanding to those affected by NS. The NSSG convened a conference of health care providers, all involved in various aspects of NS, to develop these guidelines for use by pediatricians in the diagnosis and management of individuals with NS and to provide updated genetic findings.","author":[{"dropping-particle":"","family":"Romano","given":"Alicia A","non-dropping-particle":"","parse-names":false,"suffix":""},{"dropping-particle":"","family":"Allanson","given":"Judith E","non-dropping-particle":"","parse-names":false,"suffix":""},{"dropping-particle":"","family":"Dahlgren","given":"Jovanna","non-dropping-particle":"","parse-names":false,"suffix":""},{"dropping-particle":"","family":"Gelb","given":"Bruce D","non-dropping-particle":"","parse-names":false,"suffix":""},{"dropping-particle":"","family":"Hall","given":"Bryan","non-dropping-particle":"","parse-names":false,"suffix":""},{"dropping-particle":"","family":"Pierpont","given":"Mary Ella","non-dropping-particle":"","parse-names":false,"suffix":""},{"dropping-particle":"","family":"Roberts","given":"Amy E","non-dropping-particle":"","parse-names":false,"suffix":""},{"dropping-particle":"","family":"Robinson","given":"Wanda","non-dropping-particle":"","parse-names":false,"suffix":""},{"dropping-particle":"","family":"Takemoto","given":"Clifford M","non-dropping-particle":"","parse-names":false,"suffix":""},{"dropping-particle":"","family":"Noonan","given":"Jacqueline A","non-dropping-particle":"","parse-names":false,"suffix":""}],"container-title":"Pediatrics","id":"ITEM-4","issue":"4","issued":{"date-parts":[["2010","10"]]},"language":"eng","page":"746-759","publisher-place":"United States","title":"Noonan syndrome: clinical features, diagnosis, and management guidelines.","type":"article-journal","volume":"126"},"uris":["http://www.mendeley.com/documents/?uuid=c22a5e5b-1b13-444c-97de-9b6d944f19c0"]},{"id":"ITEM-5","itemData":{"DOI":"10.1016/j.gde.2009.04.001","ISSN":"1879-0380 (Electronic)","PMID":"19467855","abstract":"The Ras/mitogen activated protein kinase (MAPK) pathway is essential in the  regulation of the cell cycle, differentiation, growth and cell senescence, all of which are critical to normal development. It is therefore not surprising that its dysregulation has profound effects on development. A class of developmental syndromes, the 'RASopathies', is caused by germline mutations in genes that encode protein components of the Ras/MAPK pathway. The vast majority of these mutations result in increased signal transduction down the Ras/MAPK pathway, but usually to a lesser extent than somatic mutations associated with oncogenesis. Each syndrome exhibits unique phenotypic features, however, since they all cause dysregulation of the Ras/MAPK pathway, there are numerous overlapping phenotypic features between the syndromes, including characteristic facial features, cardiac defects, cutaneous abnormalities, neurocognitive delay and a predisposition to malignancies. Here we review the clinical and underlying molecular basis for each of these syndromes.","author":[{"dropping-particle":"","family":"Tidyman","given":"William E","non-dropping-particle":"","parse-names":false,"suffix":""},{"dropping-particle":"","family":"Rauen","given":"Katherine A","non-dropping-particle":"","parse-names":false,"suffix":""}],"container-title":"Current opinion in genetics &amp; development","id":"ITEM-5","issue":"3","issued":{"date-parts":[["2009","6"]]},"language":"eng","page":"230-236","title":"The RASopathies: developmental syndromes of Ras/MAPK pathway dysregulation.","type":"article-journal","volume":"19"},"uris":["http://www.mendeley.com/documents/?uuid=1c9d58a2-63cf-498e-9868-b524243f75cb"]}],"mendeley":{"formattedCitation":"[2–6]","plainTextFormattedCitation":"[2–6]","previouslyFormattedCitation":"[2–6]"},"properties":{"noteIndex":0},"schema":"https://github.com/citation-style-language/schema/raw/master/csl-citation.json"}</w:instrText>
      </w:r>
      <w:r w:rsidR="00B818BD" w:rsidRPr="00852287">
        <w:rPr>
          <w:rFonts w:ascii="Arial" w:hAnsi="Arial" w:cs="Arial"/>
          <w:color w:val="000000"/>
          <w:sz w:val="22"/>
        </w:rPr>
        <w:fldChar w:fldCharType="separate"/>
      </w:r>
      <w:r w:rsidR="002E015D" w:rsidRPr="002E015D">
        <w:rPr>
          <w:rFonts w:ascii="Arial" w:hAnsi="Arial" w:cs="Arial"/>
          <w:noProof/>
          <w:color w:val="000000"/>
          <w:sz w:val="22"/>
        </w:rPr>
        <w:t>[2–6]</w:t>
      </w:r>
      <w:r w:rsidR="00B818BD" w:rsidRPr="00852287">
        <w:rPr>
          <w:rFonts w:ascii="Arial" w:hAnsi="Arial" w:cs="Arial"/>
          <w:color w:val="000000"/>
          <w:sz w:val="22"/>
        </w:rPr>
        <w:fldChar w:fldCharType="end"/>
      </w:r>
      <w:r w:rsidR="00B818BD" w:rsidRPr="00852287">
        <w:rPr>
          <w:rFonts w:ascii="Arial" w:hAnsi="Arial" w:cs="Arial"/>
          <w:color w:val="000000"/>
          <w:sz w:val="22"/>
        </w:rPr>
        <w:t>.</w:t>
      </w:r>
      <w:r w:rsidRPr="00852287">
        <w:rPr>
          <w:rFonts w:ascii="Arial" w:hAnsi="Arial" w:cs="Arial"/>
          <w:color w:val="000000"/>
          <w:sz w:val="22"/>
        </w:rPr>
        <w:t xml:space="preserve"> Els gens majoritàriament implicats són: </w:t>
      </w:r>
      <w:r w:rsidRPr="00852287">
        <w:rPr>
          <w:rFonts w:ascii="Arial" w:hAnsi="Arial" w:cs="Arial"/>
          <w:i/>
          <w:iCs/>
          <w:color w:val="000000"/>
          <w:sz w:val="22"/>
        </w:rPr>
        <w:t>BRAF, CBL, HRAS, KRAS, LZTR1, NF1, NRAS, MAP2K1, MAP2K2, PTPN11, RAF1, RIT1, SHOC2, SOS1, SOS2</w:t>
      </w:r>
      <w:r w:rsidRPr="00852287">
        <w:rPr>
          <w:rFonts w:ascii="Arial" w:hAnsi="Arial" w:cs="Arial"/>
          <w:color w:val="000000"/>
          <w:sz w:val="22"/>
        </w:rPr>
        <w:t>, entre d’altres</w:t>
      </w:r>
      <w:r w:rsidR="002E015D">
        <w:rPr>
          <w:rFonts w:ascii="Arial" w:hAnsi="Arial" w:cs="Arial"/>
          <w:color w:val="000000"/>
          <w:sz w:val="22"/>
        </w:rPr>
        <w:t xml:space="preserve"> </w:t>
      </w:r>
      <w:r w:rsidR="002E015D">
        <w:rPr>
          <w:rFonts w:ascii="Arial" w:hAnsi="Arial" w:cs="Arial"/>
          <w:color w:val="000000"/>
          <w:sz w:val="22"/>
        </w:rPr>
        <w:fldChar w:fldCharType="begin" w:fldLock="1"/>
      </w:r>
      <w:r w:rsidR="002E015D">
        <w:rPr>
          <w:rFonts w:ascii="Arial" w:hAnsi="Arial" w:cs="Arial"/>
          <w:color w:val="000000"/>
          <w:sz w:val="22"/>
        </w:rPr>
        <w:instrText>ADDIN CSL_CITATION {"citationItems":[{"id":"ITEM-1","itemData":{"DOI":"10.1002/humu.23624","ISSN":"1098-1004 (Electronic)","PMID":"30311384","abstract":"The RASopathies are a complex group of conditions regarding phenotype and genetic  etiology. The ClinGen RASopathy Expert Panel (RAS EP) assessed published and other publicly available evidence supporting the association of 19 genes with RASopathy conditions. Using the semiquantitative literature curation method developed by the ClinGen Gene Curation Working Group, evidence for each gene was curated and scored for Noonan syndrome (NS), Costello syndrome, cardiofaciocutaneous syndrome, NS with multiple lentigines, and Noonan-like syndrome with loose anagen hair. The curated evidence supporting each gene-disease relationship was then discussed and approved by the ClinGen RASopathy Expert Panel. Each association's strength was classified as definitive, strong, moderate, limited, disputed, or no evidence. Eleven genes were classified as definitively associated with at least one RASopathy condition. Two genes classified as strong for association with at least one RASopathy condition while one gene was moderate and three were limited. The RAS EP also disputed the association of two genes for all RASopathy conditions. Overall, our results provide a greater understanding of the different gene-disease relationships within the RASopathies and can help in guiding and directing clinicians, patients, and researchers who are identifying variants in individuals with a suspected RASopathy.","author":[{"dropping-particle":"","family":"Grant","given":"Andrew R","non-dropping-particle":"","parse-names":false,"suffix":""},{"dropping-particle":"","family":"Cushman","given":"Brandon J","non-dropping-particle":"","parse-names":false,"suffix":""},{"dropping-particle":"","family":"Cavé","given":"Hélène","non-dropping-particle":"","parse-names":false,"suffix":""},{"dropping-particle":"","family":"Dillon","given":"Mitchell W","non-dropping-particle":"","parse-names":false,"suffix":""},{"dropping-particle":"","family":"Gelb","given":"Bruce D","non-dropping-particle":"","parse-names":false,"suffix":""},{"dropping-particle":"","family":"Gripp","given":"Karen W","non-dropping-particle":"","parse-names":false,"suffix":""},{"dropping-particle":"","family":"Lee","given":"Jennifer A","non-dropping-particle":"","parse-names":false,"suffix":""},{"dropping-particle":"","family":"Mason-Suares","given":"Heather","non-dropping-particle":"","parse-names":false,"suffix":""},{"dropping-particle":"","family":"Rauen","given":"Katherine A","non-dropping-particle":"","parse-names":false,"suffix":""},{"dropping-particle":"","family":"Tartaglia","given":"Marco","non-dropping-particle":"","parse-names":false,"suffix":""},{"dropping-particle":"","family":"Vincent","given":"Lisa M","non-dropping-particle":"","parse-names":false,"suffix":""},{"dropping-particle":"","family":"Zenker","given":"Martin","non-dropping-particle":"","parse-names":false,"suffix":""}],"container-title":"Human mutation","id":"ITEM-1","issue":"11","issued":{"date-parts":[["2018","11"]]},"language":"eng","page":"1485-1493","title":"Assessing the gene-disease association of 19 genes with the RASopathies using the  ClinGen gene curation framework.","type":"article-journal","volume":"39"},"uris":["http://www.mendeley.com/documents/?uuid=b917e6e7-91ab-480c-940f-c0cc08a17a1d"]}],"mendeley":{"formattedCitation":"[7]","plainTextFormattedCitation":"[7]","previouslyFormattedCitation":"[7]"},"properties":{"noteIndex":0},"schema":"https://github.com/citation-style-language/schema/raw/master/csl-citation.json"}</w:instrText>
      </w:r>
      <w:r w:rsidR="002E015D">
        <w:rPr>
          <w:rFonts w:ascii="Arial" w:hAnsi="Arial" w:cs="Arial"/>
          <w:color w:val="000000"/>
          <w:sz w:val="22"/>
        </w:rPr>
        <w:fldChar w:fldCharType="separate"/>
      </w:r>
      <w:r w:rsidR="002E015D" w:rsidRPr="002E015D">
        <w:rPr>
          <w:rFonts w:ascii="Arial" w:hAnsi="Arial" w:cs="Arial"/>
          <w:noProof/>
          <w:color w:val="000000"/>
          <w:sz w:val="22"/>
        </w:rPr>
        <w:t>[7]</w:t>
      </w:r>
      <w:r w:rsidR="002E015D">
        <w:rPr>
          <w:rFonts w:ascii="Arial" w:hAnsi="Arial" w:cs="Arial"/>
          <w:color w:val="000000"/>
          <w:sz w:val="22"/>
        </w:rPr>
        <w:fldChar w:fldCharType="end"/>
      </w:r>
      <w:r w:rsidRPr="00852287">
        <w:rPr>
          <w:rFonts w:ascii="Arial" w:hAnsi="Arial" w:cs="Arial"/>
          <w:color w:val="000000"/>
          <w:sz w:val="22"/>
        </w:rPr>
        <w:t>.</w:t>
      </w:r>
    </w:p>
    <w:p w:rsidR="00065D11" w:rsidRPr="00852287"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000000"/>
          <w:sz w:val="22"/>
        </w:rPr>
        <w:t xml:space="preserve">Així com existeixen les guies creades per la ACMG, comentades anteriorment, també existeixen les recomanacions del RAS EP (de l’anglès, </w:t>
      </w:r>
      <w:proofErr w:type="spellStart"/>
      <w:r w:rsidRPr="00852287">
        <w:rPr>
          <w:rFonts w:ascii="Arial" w:hAnsi="Arial" w:cs="Arial"/>
          <w:i/>
          <w:color w:val="000000"/>
          <w:sz w:val="22"/>
        </w:rPr>
        <w:t>ClinGen</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RASopathies</w:t>
      </w:r>
      <w:proofErr w:type="spellEnd"/>
      <w:r w:rsidRPr="00852287">
        <w:rPr>
          <w:rFonts w:ascii="Arial" w:hAnsi="Arial" w:cs="Arial"/>
          <w:i/>
          <w:color w:val="000000"/>
          <w:sz w:val="22"/>
        </w:rPr>
        <w:t xml:space="preserve"> Expert Panel</w:t>
      </w:r>
      <w:r w:rsidRPr="00852287">
        <w:rPr>
          <w:rFonts w:ascii="Arial" w:hAnsi="Arial" w:cs="Arial"/>
          <w:color w:val="000000"/>
          <w:sz w:val="22"/>
        </w:rPr>
        <w:t xml:space="preserve">), el qual es centra en proporcionar una guia més específica per la classificació de variants en aquests tipus de malalties relacionades amb la via Ras/MAPK. En aquestes malalties la majoria de variants patogèniques produeixen un guany de funció, GOF (de l’anglès, </w:t>
      </w:r>
      <w:proofErr w:type="spellStart"/>
      <w:r w:rsidRPr="00852287">
        <w:rPr>
          <w:rFonts w:ascii="Arial" w:hAnsi="Arial" w:cs="Arial"/>
          <w:i/>
          <w:color w:val="000000"/>
          <w:sz w:val="22"/>
        </w:rPr>
        <w:t>gain</w:t>
      </w:r>
      <w:proofErr w:type="spellEnd"/>
      <w:r w:rsidRPr="00852287">
        <w:rPr>
          <w:rFonts w:ascii="Arial" w:hAnsi="Arial" w:cs="Arial"/>
          <w:i/>
          <w:color w:val="000000"/>
          <w:sz w:val="22"/>
        </w:rPr>
        <w:t>-of-</w:t>
      </w:r>
      <w:proofErr w:type="spellStart"/>
      <w:r w:rsidRPr="00852287">
        <w:rPr>
          <w:rFonts w:ascii="Arial" w:hAnsi="Arial" w:cs="Arial"/>
          <w:i/>
          <w:color w:val="000000"/>
          <w:sz w:val="22"/>
        </w:rPr>
        <w:t>function</w:t>
      </w:r>
      <w:proofErr w:type="spellEnd"/>
      <w:r w:rsidRPr="00852287">
        <w:rPr>
          <w:rFonts w:ascii="Arial" w:hAnsi="Arial" w:cs="Arial"/>
          <w:color w:val="000000"/>
          <w:sz w:val="22"/>
        </w:rPr>
        <w:t>), que provoca la desregulació de la via Ras/MAPK. Aquestes s’hereten de manera autosòmica dominant amb penetrància completa i expressivitat variable. Tot i això alguns gens (per exemple</w:t>
      </w:r>
      <w:r w:rsidR="00AA0291" w:rsidRPr="00852287">
        <w:rPr>
          <w:rFonts w:ascii="Arial" w:hAnsi="Arial" w:cs="Arial"/>
          <w:color w:val="000000"/>
          <w:sz w:val="22"/>
        </w:rPr>
        <w:t>:</w:t>
      </w:r>
      <w:r w:rsidRPr="00852287">
        <w:rPr>
          <w:rFonts w:ascii="Arial" w:hAnsi="Arial" w:cs="Arial"/>
          <w:color w:val="000000"/>
          <w:sz w:val="22"/>
        </w:rPr>
        <w:t xml:space="preserve"> </w:t>
      </w:r>
      <w:r w:rsidRPr="00852287">
        <w:rPr>
          <w:rFonts w:ascii="Arial" w:hAnsi="Arial" w:cs="Arial"/>
          <w:i/>
          <w:color w:val="000000"/>
          <w:sz w:val="22"/>
        </w:rPr>
        <w:t>NF1, LZTR1</w:t>
      </w:r>
      <w:r w:rsidRPr="00852287">
        <w:rPr>
          <w:rFonts w:ascii="Arial" w:hAnsi="Arial" w:cs="Arial"/>
          <w:color w:val="000000"/>
          <w:sz w:val="22"/>
        </w:rPr>
        <w:t xml:space="preserve">) s’han associat amb pèrdues de funció, LOF (de l’anglès, </w:t>
      </w:r>
      <w:proofErr w:type="spellStart"/>
      <w:r w:rsidRPr="00852287">
        <w:rPr>
          <w:rFonts w:ascii="Arial" w:hAnsi="Arial" w:cs="Arial"/>
          <w:i/>
          <w:color w:val="000000"/>
          <w:sz w:val="22"/>
        </w:rPr>
        <w:t>loss</w:t>
      </w:r>
      <w:proofErr w:type="spellEnd"/>
      <w:r w:rsidRPr="00852287">
        <w:rPr>
          <w:rFonts w:ascii="Arial" w:hAnsi="Arial" w:cs="Arial"/>
          <w:i/>
          <w:color w:val="000000"/>
          <w:sz w:val="22"/>
        </w:rPr>
        <w:t>-of-</w:t>
      </w:r>
      <w:proofErr w:type="spellStart"/>
      <w:r w:rsidRPr="00852287">
        <w:rPr>
          <w:rFonts w:ascii="Arial" w:hAnsi="Arial" w:cs="Arial"/>
          <w:i/>
          <w:color w:val="000000"/>
          <w:sz w:val="22"/>
        </w:rPr>
        <w:t>function</w:t>
      </w:r>
      <w:proofErr w:type="spellEnd"/>
      <w:r w:rsidRPr="00852287">
        <w:rPr>
          <w:rFonts w:ascii="Arial" w:hAnsi="Arial" w:cs="Arial"/>
          <w:color w:val="000000"/>
          <w:sz w:val="22"/>
        </w:rPr>
        <w:t>) i / o herència autosòmica recessiva</w:t>
      </w:r>
      <w:r w:rsidR="002E015D">
        <w:rPr>
          <w:rFonts w:ascii="Arial" w:hAnsi="Arial" w:cs="Arial"/>
          <w:color w:val="000000"/>
          <w:sz w:val="22"/>
        </w:rPr>
        <w:t xml:space="preserve"> </w:t>
      </w:r>
      <w:r w:rsidR="002E015D">
        <w:rPr>
          <w:rFonts w:ascii="Arial" w:hAnsi="Arial" w:cs="Arial"/>
          <w:color w:val="000000"/>
          <w:sz w:val="22"/>
        </w:rPr>
        <w:fldChar w:fldCharType="begin" w:fldLock="1"/>
      </w:r>
      <w:r w:rsidR="002E015D">
        <w:rPr>
          <w:rFonts w:ascii="Arial" w:hAnsi="Arial" w:cs="Arial"/>
          <w:color w:val="000000"/>
          <w:sz w:val="22"/>
        </w:rPr>
        <w:instrText>ADDIN CSL_CITATION {"citationItems":[{"id":"ITEM-1","itemData":{"DOI":"10.1038/gim.2018.3","ISSN":"1530-0366 (Electronic)","PMID":"29493581","abstract":"PURPOSE: Standardized and accurate variant assessment is essential for effective  medical care. To that end, Clinical Genome (ClinGen) Resource clinical domain working groups (CDWGs) are systematically reviewing disease-associated genes for sufficient evidence to support disease causality and creating disease-specific specifications of American College of Medical Genetics and Genomics-Association for Molecular Pathology (ACMG-AMP) guidelines for consistent and accurate variant classification. METHODS: The ClinGen RASopathy CDWG established an expert panel to curate gene information and generate gene- and disease-specific specifications to ACMG-AMP variant classification framework. These specifications were tested by classifying 37 exemplar pathogenic variants plus an additional 66 variants in ClinVar distributed across nine RASopathy genes. RESULTS: RASopathy-related specifications were applied to 16 ACMG-AMP criteria, with 5 also having adjustable strength with availability of additional evidence. Another 5 criteria were deemed not applicable. Key adjustments to minor allele frequency thresholds, multiple de novo occurrence events and/or segregation, and strength adjustments impacted 60% of variant classifications. Unpublished case-level data from participating laboratories impacted 45% of classifications supporting the need for data sharing. CONCLUSION: RAS-specific ACMG-AMP specifications optimized the utility of available clinical evidence and Ras/MAPK pathway-specific characteristics to consistently classify RASopathy-associated variants. These specifications highlight how grouping genes by shared features promotes rapid multigenic variant assessment without sacrificing specificity and accuracy.","author":[{"dropping-particle":"","family":"Gelb","given":"Bruce D","non-dropping-particle":"","parse-names":false,"suffix":""},{"dropping-particle":"","family":"Cavé","given":"Hélène","non-dropping-particle":"","parse-names":false,"suffix":""},{"dropping-particle":"","family":"Dillon","given":"Mitchell W","non-dropping-particle":"","parse-names":false,"suffix":""},{"dropping-particle":"","family":"Gripp","given":"Karen W","non-dropping-particle":"","parse-names":false,"suffix":""},{"dropping-particle":"","family":"Lee","given":"Jennifer A","non-dropping-particle":"","parse-names":false,"suffix":""},{"dropping-particle":"","family":"Mason-Suares","given":"Heather","non-dropping-particle":"","parse-names":false,"suffix":""},{"dropping-particle":"","family":"Rauen","given":"Katherine A","non-dropping-particle":"","parse-names":false,"suffix":""},{"dropping-particle":"","family":"Williams","given":"Bradley","non-dropping-particle":"","parse-names":false,"suffix":""},{"dropping-particle":"","family":"Zenker","given":"Martin","non-dropping-particle":"","parse-names":false,"suffix":""},{"dropping-particle":"","family":"Vincent","given":"Lisa M","non-dropping-particle":"","parse-names":false,"suffix":""}],"container-title":"Genetics in medicine : official journal of the American College of Medical Genetics","id":"ITEM-1","issue":"11","issued":{"date-parts":[["2018","11"]]},"language":"eng","page":"1334-1345","title":"ClinGen's RASopathy Expert Panel consensus methods for variant interpretation.","type":"article-journal","volume":"20"},"uris":["http://www.mendeley.com/documents/?uuid=a9680aa9-6a23-4b9b-ad89-f40aaedf79a9"]}],"mendeley":{"formattedCitation":"[8]","plainTextFormattedCitation":"[8]"},"properties":{"noteIndex":0},"schema":"https://github.com/citation-style-language/schema/raw/master/csl-citation.json"}</w:instrText>
      </w:r>
      <w:r w:rsidR="002E015D">
        <w:rPr>
          <w:rFonts w:ascii="Arial" w:hAnsi="Arial" w:cs="Arial"/>
          <w:color w:val="000000"/>
          <w:sz w:val="22"/>
        </w:rPr>
        <w:fldChar w:fldCharType="separate"/>
      </w:r>
      <w:r w:rsidR="002E015D" w:rsidRPr="002E015D">
        <w:rPr>
          <w:rFonts w:ascii="Arial" w:hAnsi="Arial" w:cs="Arial"/>
          <w:noProof/>
          <w:color w:val="000000"/>
          <w:sz w:val="22"/>
        </w:rPr>
        <w:t>[8]</w:t>
      </w:r>
      <w:r w:rsidR="002E015D">
        <w:rPr>
          <w:rFonts w:ascii="Arial" w:hAnsi="Arial" w:cs="Arial"/>
          <w:color w:val="000000"/>
          <w:sz w:val="22"/>
        </w:rPr>
        <w:fldChar w:fldCharType="end"/>
      </w:r>
      <w:r w:rsidRPr="00852287">
        <w:rPr>
          <w:rFonts w:ascii="Arial" w:hAnsi="Arial" w:cs="Arial"/>
          <w:color w:val="000000"/>
          <w:sz w:val="22"/>
        </w:rPr>
        <w:t>.</w:t>
      </w:r>
    </w:p>
    <w:p w:rsidR="00065D11" w:rsidRPr="00852287" w:rsidRDefault="00852287" w:rsidP="000F3FED">
      <w:pPr>
        <w:pStyle w:val="Standard"/>
        <w:spacing w:after="240" w:line="276" w:lineRule="auto"/>
        <w:jc w:val="both"/>
        <w:rPr>
          <w:rFonts w:ascii="Arial" w:hAnsi="Arial" w:cs="Arial"/>
          <w:color w:val="21409A"/>
          <w:sz w:val="22"/>
        </w:rPr>
      </w:pPr>
      <w:r w:rsidRPr="00852287">
        <w:rPr>
          <w:rFonts w:ascii="Arial" w:hAnsi="Arial" w:cs="Arial"/>
          <w:color w:val="21409A"/>
          <w:sz w:val="22"/>
        </w:rPr>
        <w:t>• Problemàtica a resoldre:</w:t>
      </w:r>
    </w:p>
    <w:p w:rsidR="00065D11" w:rsidRPr="00852287"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000000"/>
          <w:sz w:val="22"/>
        </w:rPr>
        <w:t xml:space="preserve">Amb els darrers avanços en tecnologies com la NGS (de l’anglès, </w:t>
      </w:r>
      <w:proofErr w:type="spellStart"/>
      <w:r w:rsidRPr="00852287">
        <w:rPr>
          <w:rFonts w:ascii="Arial" w:hAnsi="Arial" w:cs="Arial"/>
          <w:i/>
          <w:color w:val="000000"/>
          <w:sz w:val="22"/>
        </w:rPr>
        <w:t>Next</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Generation</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Sequencing</w:t>
      </w:r>
      <w:proofErr w:type="spellEnd"/>
      <w:r w:rsidRPr="00852287">
        <w:rPr>
          <w:rFonts w:ascii="Arial" w:hAnsi="Arial" w:cs="Arial"/>
          <w:color w:val="000000"/>
          <w:sz w:val="22"/>
        </w:rPr>
        <w:t xml:space="preserve">) cada vegada resulta més ràpid i econòmic l’obtenció de dades genètiques per part dels laboratoris de </w:t>
      </w:r>
      <w:r w:rsidR="0099772E" w:rsidRPr="00852287">
        <w:rPr>
          <w:rFonts w:ascii="Arial" w:hAnsi="Arial" w:cs="Arial"/>
          <w:color w:val="000000"/>
          <w:sz w:val="22"/>
        </w:rPr>
        <w:t>diagnòstic</w:t>
      </w:r>
      <w:r w:rsidRPr="00852287">
        <w:rPr>
          <w:rFonts w:ascii="Arial" w:hAnsi="Arial" w:cs="Arial"/>
          <w:color w:val="000000"/>
          <w:sz w:val="22"/>
        </w:rPr>
        <w:t xml:space="preserve"> molecular. Tot i això la interpretació clínica de les dades obtingudes segueix sent subjectiva, </w:t>
      </w:r>
      <w:r w:rsidR="0099772E" w:rsidRPr="00852287">
        <w:rPr>
          <w:rFonts w:ascii="Arial" w:hAnsi="Arial" w:cs="Arial"/>
          <w:color w:val="000000"/>
          <w:sz w:val="22"/>
        </w:rPr>
        <w:t>complexa</w:t>
      </w:r>
      <w:r w:rsidRPr="00852287">
        <w:rPr>
          <w:rFonts w:ascii="Arial" w:hAnsi="Arial" w:cs="Arial"/>
          <w:color w:val="000000"/>
          <w:sz w:val="22"/>
        </w:rPr>
        <w:t xml:space="preserve"> i amb  limitacions importants pel que fa a consistència i precisió; obtenint-se diferents interpretacions segons les normes de classificació de variants que segueix cada laboratori o l’accés a dades de casos únics. Davant d’això existeixen recomanacions descrites per la ACMG-AMP (de l’anglès, </w:t>
      </w:r>
      <w:r w:rsidRPr="00852287">
        <w:rPr>
          <w:rFonts w:ascii="Arial" w:hAnsi="Arial" w:cs="Arial"/>
          <w:i/>
          <w:color w:val="000000"/>
          <w:sz w:val="22"/>
        </w:rPr>
        <w:t xml:space="preserve">American </w:t>
      </w:r>
      <w:proofErr w:type="spellStart"/>
      <w:r w:rsidRPr="00852287">
        <w:rPr>
          <w:rFonts w:ascii="Arial" w:hAnsi="Arial" w:cs="Arial"/>
          <w:i/>
          <w:color w:val="000000"/>
          <w:sz w:val="22"/>
        </w:rPr>
        <w:t>College</w:t>
      </w:r>
      <w:proofErr w:type="spellEnd"/>
      <w:r w:rsidRPr="00852287">
        <w:rPr>
          <w:rFonts w:ascii="Arial" w:hAnsi="Arial" w:cs="Arial"/>
          <w:i/>
          <w:color w:val="000000"/>
          <w:sz w:val="22"/>
        </w:rPr>
        <w:t xml:space="preserve"> of Medical </w:t>
      </w:r>
      <w:proofErr w:type="spellStart"/>
      <w:r w:rsidRPr="00852287">
        <w:rPr>
          <w:rFonts w:ascii="Arial" w:hAnsi="Arial" w:cs="Arial"/>
          <w:i/>
          <w:color w:val="000000"/>
          <w:sz w:val="22"/>
        </w:rPr>
        <w:t>Genetics</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and</w:t>
      </w:r>
      <w:proofErr w:type="spellEnd"/>
      <w:r w:rsidRPr="00852287">
        <w:rPr>
          <w:rFonts w:ascii="Arial" w:hAnsi="Arial" w:cs="Arial"/>
          <w:i/>
          <w:color w:val="000000"/>
          <w:sz w:val="22"/>
        </w:rPr>
        <w:t xml:space="preserve"> </w:t>
      </w:r>
      <w:proofErr w:type="spellStart"/>
      <w:r w:rsidRPr="00852287">
        <w:rPr>
          <w:rFonts w:ascii="Arial" w:hAnsi="Arial" w:cs="Arial"/>
          <w:i/>
          <w:color w:val="000000"/>
          <w:sz w:val="22"/>
        </w:rPr>
        <w:t>Genomics</w:t>
      </w:r>
      <w:proofErr w:type="spellEnd"/>
      <w:r w:rsidRPr="00852287">
        <w:rPr>
          <w:rFonts w:ascii="Arial" w:hAnsi="Arial" w:cs="Arial"/>
          <w:i/>
          <w:color w:val="000000"/>
          <w:sz w:val="22"/>
        </w:rPr>
        <w:t xml:space="preserve"> – </w:t>
      </w:r>
      <w:proofErr w:type="spellStart"/>
      <w:r w:rsidRPr="00852287">
        <w:rPr>
          <w:rFonts w:ascii="Arial" w:hAnsi="Arial" w:cs="Arial"/>
          <w:i/>
          <w:color w:val="000000"/>
          <w:sz w:val="22"/>
        </w:rPr>
        <w:t>Association</w:t>
      </w:r>
      <w:proofErr w:type="spellEnd"/>
      <w:r w:rsidRPr="00852287">
        <w:rPr>
          <w:rFonts w:ascii="Arial" w:hAnsi="Arial" w:cs="Arial"/>
          <w:i/>
          <w:color w:val="000000"/>
          <w:sz w:val="22"/>
        </w:rPr>
        <w:t xml:space="preserve"> for Molecular </w:t>
      </w:r>
      <w:proofErr w:type="spellStart"/>
      <w:r w:rsidRPr="00852287">
        <w:rPr>
          <w:rFonts w:ascii="Arial" w:hAnsi="Arial" w:cs="Arial"/>
          <w:i/>
          <w:color w:val="000000"/>
          <w:sz w:val="22"/>
        </w:rPr>
        <w:t>Pathology</w:t>
      </w:r>
      <w:proofErr w:type="spellEnd"/>
      <w:r w:rsidRPr="00852287">
        <w:rPr>
          <w:rFonts w:ascii="Arial" w:hAnsi="Arial" w:cs="Arial"/>
          <w:color w:val="000000"/>
          <w:sz w:val="22"/>
        </w:rPr>
        <w:t>), tot i això l’avaluació de la seva fiabilitat per part dels investigadors en aquest camp posen en manifest la necessitat de millorar aquestes guies i afegir l’opinió d’experts alhora de seguir-les.</w:t>
      </w:r>
    </w:p>
    <w:p w:rsidR="00065D11" w:rsidRDefault="00852287" w:rsidP="000F3FED">
      <w:pPr>
        <w:pStyle w:val="Standard"/>
        <w:spacing w:after="240" w:line="276" w:lineRule="auto"/>
        <w:jc w:val="both"/>
        <w:rPr>
          <w:rFonts w:ascii="Arial" w:hAnsi="Arial" w:cs="Arial"/>
          <w:color w:val="000000"/>
          <w:sz w:val="22"/>
        </w:rPr>
      </w:pPr>
      <w:r w:rsidRPr="00852287">
        <w:rPr>
          <w:rFonts w:ascii="Arial" w:hAnsi="Arial" w:cs="Arial"/>
          <w:color w:val="000000"/>
          <w:sz w:val="22"/>
        </w:rPr>
        <w:t xml:space="preserve">Històricament, la majoria de les malalties incloses dins les anomenades </w:t>
      </w:r>
      <w:proofErr w:type="spellStart"/>
      <w:r w:rsidRPr="00852287">
        <w:rPr>
          <w:rFonts w:ascii="Arial" w:hAnsi="Arial" w:cs="Arial"/>
          <w:color w:val="000000"/>
          <w:sz w:val="22"/>
        </w:rPr>
        <w:t>RASopaties</w:t>
      </w:r>
      <w:proofErr w:type="spellEnd"/>
      <w:r w:rsidRPr="00852287">
        <w:rPr>
          <w:rFonts w:ascii="Arial" w:hAnsi="Arial" w:cs="Arial"/>
          <w:color w:val="000000"/>
          <w:sz w:val="22"/>
        </w:rPr>
        <w:t xml:space="preserve"> han estat descrites com a síndromes diferents que presenten altes correlacions entre cada síndrome i un/s determinat/s gen/s. Malgrat això, les característiques fenotípiques que comparteixen entre elles han fet complicat el seu </w:t>
      </w:r>
      <w:r w:rsidR="0099772E" w:rsidRPr="00852287">
        <w:rPr>
          <w:rFonts w:ascii="Arial" w:hAnsi="Arial" w:cs="Arial"/>
          <w:color w:val="000000"/>
          <w:sz w:val="22"/>
        </w:rPr>
        <w:t>diagnòstic</w:t>
      </w:r>
      <w:r w:rsidRPr="00852287">
        <w:rPr>
          <w:rFonts w:ascii="Arial" w:hAnsi="Arial" w:cs="Arial"/>
          <w:color w:val="000000"/>
          <w:sz w:val="22"/>
        </w:rPr>
        <w:t>. A més, s’ha descrit una expressivitat variable en individus i famílies que comparteixen el mateix genotip</w:t>
      </w:r>
      <w:r w:rsidR="00B818BD" w:rsidRPr="00852287">
        <w:rPr>
          <w:rFonts w:ascii="Arial" w:hAnsi="Arial" w:cs="Arial"/>
          <w:color w:val="000000"/>
          <w:sz w:val="22"/>
        </w:rPr>
        <w:t xml:space="preserve"> </w:t>
      </w:r>
      <w:r w:rsidR="00B818BD" w:rsidRPr="00852287">
        <w:rPr>
          <w:rFonts w:ascii="Arial" w:hAnsi="Arial" w:cs="Arial"/>
          <w:color w:val="000000"/>
          <w:sz w:val="22"/>
        </w:rPr>
        <w:fldChar w:fldCharType="begin" w:fldLock="1"/>
      </w:r>
      <w:r w:rsidR="002E015D">
        <w:rPr>
          <w:rFonts w:ascii="Arial" w:hAnsi="Arial" w:cs="Arial"/>
          <w:color w:val="000000"/>
          <w:sz w:val="22"/>
        </w:rPr>
        <w:instrText>ADDIN CSL_CITATION {"citationItems":[{"id":"ITEM-1","itemData":{"PMID":"20301303","abstract":"CLINICAL CHARACTERISTICS: Noonan syndrome (NS) is characterized by characteristic  facies, short stature, congenital heart defect, and developmental delay of variable degree. Other findings can include broad or webbed neck, unusual chest shape with superior pectus carinatum and inferior pectus excavatum, cryptorchidism, varied coagulation defects, lymphatic dysplasias, and ocular abnormalities. Although birth length is usually normal, final adult height approaches the lower limit of normal. Congenital heart disease occurs in 50%-80% of individuals. Pulmonary valve stenosis, often with dysplasia, is the most common heart defect and is found in 20%-50% of individuals. Hypertrophic cardiomyopathy, found in 20%-30% of individuals, may be present at birth or develop in infancy or childhood. Other structural defects include atrial and ventricular septal defects, branch pulmonary artery stenosis, and tetralogy of Fallot. Up to one fourth of affected individuals have mild intellectual disability, and language impairments in general are more common in NS than in the general population. DIAGNOSIS/TESTING: NS is diagnosed on clinical grounds by observation of key features. Affected individuals have normal chromosome studies. Molecular genetic testing identifies a pathogenic variant in PTPN11 in 50% of affected individuals, SOS1 in approximately 13%, RAF1 and RIT1 each in 5%, and KRAS in fewer than 5%. Other reported genes – in which pathogenic variants have been found to cause Noonan syndrome in fewer than 1% of cases – include BRAF, LZTR1, MAP2K1, and NRAS. Several additional genes associated with a Noonan-syndrome-like phenotype in fewer than ten individuals have been identified. MANAGEMENT: Treatment of manifestations: Cardiovascular anomalies in NS are usually treated as in the general population. Developmental disabilities are addressed by early intervention programs and individualized education strategies. Treatment for serious bleeding is guided by knowledge of the specific factor deficiency or platelet aggregation anomaly. Growth hormone (GH) treatment increases growth velocity. Surveillance: Monitoring of anomalies found in any system, especially cardiovascular abnormalities. GENETIC COUNSELING: NS is most often inherited in an autosomal dominant manner. While many individuals with autosomal dominant NS have a de novo pathogenic variant, an affected parent is recognized in 30%-75% of families. The risk to sibs of a proband with autosomal dominant NS depen…","author":[{"dropping-particle":"","family":"Allanson","given":"Judith E","non-dropping-particle":"","parse-names":false,"suffix":""},{"dropping-particle":"","family":"Roberts","given":"Amy E","non-dropping-particle":"","parse-names":false,"suffix":""}],"editor":[{"dropping-particle":"","family":"Adam","given":"Margaret P","non-dropping-particle":"","parse-names":false,"suffix":""},{"dropping-particle":"","family":"Ardinger","given":"Holly H","non-dropping-particle":"","parse-names":false,"suffix":""},{"dropping-particle":"","family":"Pagon","given":"Roberta A","non-dropping-particle":"","parse-names":false,"suffix":""},{"dropping-particle":"","family":"Wallace","given":"Stephanie E","non-dropping-particle":"","parse-names":false,"suffix":""},{"dropping-particle":"","family":"Bean","given":"Lora J H","non-dropping-particle":"","parse-names":false,"suffix":""},{"dropping-particle":"","family":"Stephens","given":"Karen","non-dropping-particle":"","parse-names":false,"suffix":""},{"dropping-particle":"","family":"Amemiya","given":"Anne","non-dropping-particle":"","parse-names":false,"suffix":""}],"id":"ITEM-1","issued":{"date-parts":[["1993"]]},"language":"eng","publisher-place":"Seattle (WA)","title":"Noonan Syndrome.","type":"chapter"},"uris":["http://www.mendeley.com/documents/?uuid=6d02da4f-b1ef-414f-bc1e-993b1a6ab4ab"]},{"id":"ITEM-2","itemData":{"DOI":"10.1086/340847","ISSN":"0002-9297 (Print)","PMID":"11992261","abstract":"Noonan syndrome (NS) is a developmental disorder characterized by facial dysmorphia,  short stature, cardiac defects, and skeletal malformations. We recently demonstrated that mutations in PTPN11, the gene encoding the non-receptor-type protein tyrosine phosphatase SHP-2 (src homology region 2-domain phosphatase-2), cause NS, accounting for approximately 50% of cases of this genetically heterogeneous disorder in a small cohort. All mutations were missense changes and clustered at the interacting portions of the amino-terminal src-homology 2 (N-SH2) and protein tyrosine phosphatase (PTP) domains. A gain of function was postulated as a mechanism for the disease. Here, we report the spectrum and distribution of PTPN11 mutations in a large, well-characterized cohort with NS. Mutations were found in 54 of 119 (45%) unrelated individuals with sporadic or familial NS. There was a significantly higher prevalence of mutations among familial cases than among sporadic ones. All defects were missense, and several were recurrent. The vast majority of mutations altered amino acid residues located in or around the interacting surfaces of the N-SH2 and PTP domains, but defects also affected residues in the C-SH2 domain, as well as in the peptide linking the N-SH2 and C-SH2 domains. Genotype-phenotype analysis revealed that pulmonic stenosis was more prevalent among the group of subjects with NS who had PTPN11 mutations than it was in the group without them (70.6% vs. 46.2%; P&lt;.01), whereas hypertrophic cardiomyopathy was less prevalent among those with PTPN11 mutations (5.9% vs. 26.2%; P&lt;.005). The prevalence of other congenital heart malformations, short stature, pectus deformity, cryptorchidism, and developmental delay did not differ between the two groups. A PTPN11 mutation was identified in a family inheriting Noonan-like/multiple giant-cell lesion syndrome, extending the phenotypic range of disease associated with this gene.","author":[{"dropping-particle":"","family":"Tartaglia","given":"Marco","non-dropping-particle":"","parse-names":false,"suffix":""},{"dropping-particle":"","family":"Kalidas","given":"Kamini","non-dropping-particle":"","parse-names":false,"suffix":""},{"dropping-particle":"","family":"Shaw","given":"Adam","non-dropping-particle":"","parse-names":false,"suffix":""},{"dropping-particle":"","family":"Song","given":"Xiaoling","non-dropping-particle":"","parse-names":false,"suffix":""},{"dropping-particle":"","family":"Musat","given":"Dan L","non-dropping-particle":"","parse-names":false,"suffix":""},{"dropping-particle":"","family":"Burgt","given":"Ineke","non-dropping-particle":"van der","parse-names":false,"suffix":""},{"dropping-particle":"","family":"Brunner","given":"Han G","non-dropping-particle":"","parse-names":false,"suffix":""},{"dropping-particle":"","family":"Bertola","given":"Débora R","non-dropping-particle":"","parse-names":false,"suffix":""},{"dropping-particle":"","family":"Crosby","given":"Andrew","non-dropping-particle":"","parse-names":false,"suffix":""},{"dropping-particle":"","family":"Ion","given":"Andra","non-dropping-particle":"","parse-names":false,"suffix":""},{"dropping-particle":"","family":"Kucherlapati","given":"Raju S","non-dropping-particle":"","parse-names":false,"suffix":""},{"dropping-particle":"","family":"Jeffery","given":"Steve","non-dropping-particle":"","parse-names":false,"suffix":""},{"dropping-particle":"","family":"Patton","given":"Michael A","non-dropping-particle":"","parse-names":false,"suffix":""},{"dropping-particle":"","family":"Gelb","given":"Bruce D","non-dropping-particle":"","parse-names":false,"suffix":""}],"container-title":"American journal of human genetics","id":"ITEM-2","issue":"6","issued":{"date-parts":[["2002","6"]]},"language":"eng","page":"1555-1563","title":"PTPN11 mutations in Noonan syndrome: molecular spectrum, genotype-phenotype  correlation, and phenotypic heterogeneity.","type":"article-journal","volume":"70"},"uris":["http://www.mendeley.com/documents/?uuid=c206f612-9c8d-467b-bb51-3fa2fa929451"]}],"mendeley":{"formattedCitation":"[9,10]","plainTextFormattedCitation":"[9,10]","previouslyFormattedCitation":"[8,9]"},"properties":{"noteIndex":0},"schema":"https://github.com/citation-style-language/schema/raw/master/csl-citation.json"}</w:instrText>
      </w:r>
      <w:r w:rsidR="00B818BD" w:rsidRPr="00852287">
        <w:rPr>
          <w:rFonts w:ascii="Arial" w:hAnsi="Arial" w:cs="Arial"/>
          <w:color w:val="000000"/>
          <w:sz w:val="22"/>
        </w:rPr>
        <w:fldChar w:fldCharType="separate"/>
      </w:r>
      <w:r w:rsidR="002E015D" w:rsidRPr="002E015D">
        <w:rPr>
          <w:rFonts w:ascii="Arial" w:hAnsi="Arial" w:cs="Arial"/>
          <w:noProof/>
          <w:color w:val="000000"/>
          <w:sz w:val="22"/>
        </w:rPr>
        <w:t>[9,10]</w:t>
      </w:r>
      <w:r w:rsidR="00B818BD" w:rsidRPr="00852287">
        <w:rPr>
          <w:rFonts w:ascii="Arial" w:hAnsi="Arial" w:cs="Arial"/>
          <w:color w:val="000000"/>
          <w:sz w:val="22"/>
        </w:rPr>
        <w:fldChar w:fldCharType="end"/>
      </w:r>
      <w:r w:rsidR="00B818BD" w:rsidRPr="00852287">
        <w:rPr>
          <w:rFonts w:ascii="Arial" w:hAnsi="Arial" w:cs="Arial"/>
          <w:color w:val="000000"/>
          <w:sz w:val="22"/>
        </w:rPr>
        <w:t>.</w:t>
      </w:r>
      <w:r w:rsidRPr="00852287">
        <w:rPr>
          <w:rFonts w:ascii="Arial" w:hAnsi="Arial" w:cs="Arial"/>
          <w:color w:val="000000"/>
          <w:sz w:val="22"/>
        </w:rPr>
        <w:t xml:space="preserve"> Per això, el grup d’experts </w:t>
      </w:r>
      <w:proofErr w:type="spellStart"/>
      <w:r w:rsidRPr="00852287">
        <w:rPr>
          <w:rFonts w:ascii="Arial" w:hAnsi="Arial" w:cs="Arial"/>
          <w:color w:val="000000"/>
          <w:sz w:val="22"/>
        </w:rPr>
        <w:t>ClinGen</w:t>
      </w:r>
      <w:proofErr w:type="spellEnd"/>
      <w:r w:rsidRPr="00852287">
        <w:rPr>
          <w:rFonts w:ascii="Arial" w:hAnsi="Arial" w:cs="Arial"/>
          <w:color w:val="000000"/>
          <w:sz w:val="22"/>
        </w:rPr>
        <w:t xml:space="preserve"> </w:t>
      </w:r>
      <w:proofErr w:type="spellStart"/>
      <w:r w:rsidRPr="00852287">
        <w:rPr>
          <w:rFonts w:ascii="Arial" w:hAnsi="Arial" w:cs="Arial"/>
          <w:color w:val="000000"/>
          <w:sz w:val="22"/>
        </w:rPr>
        <w:t>RASopathy</w:t>
      </w:r>
      <w:proofErr w:type="spellEnd"/>
      <w:r w:rsidRPr="00852287">
        <w:rPr>
          <w:rFonts w:ascii="Arial" w:hAnsi="Arial" w:cs="Arial"/>
          <w:color w:val="000000"/>
          <w:sz w:val="22"/>
        </w:rPr>
        <w:t xml:space="preserve"> (RAS EP) ha intentat proporcionar una revisió completa dels gens de la via Ras/MAPK i la seva implicació en les </w:t>
      </w:r>
      <w:proofErr w:type="spellStart"/>
      <w:r w:rsidRPr="00852287">
        <w:rPr>
          <w:rFonts w:ascii="Arial" w:hAnsi="Arial" w:cs="Arial"/>
          <w:color w:val="000000"/>
          <w:sz w:val="22"/>
        </w:rPr>
        <w:t>RASopaties</w:t>
      </w:r>
      <w:proofErr w:type="spellEnd"/>
      <w:r w:rsidRPr="00852287">
        <w:rPr>
          <w:rFonts w:ascii="Arial" w:hAnsi="Arial" w:cs="Arial"/>
          <w:color w:val="000000"/>
          <w:sz w:val="22"/>
        </w:rPr>
        <w:t xml:space="preserve">. Actualment la majoria de laboratoris utilitzen panells de NGS per realitzar les proves genètiques per a les </w:t>
      </w:r>
      <w:proofErr w:type="spellStart"/>
      <w:r w:rsidRPr="00852287">
        <w:rPr>
          <w:rFonts w:ascii="Arial" w:hAnsi="Arial" w:cs="Arial"/>
          <w:color w:val="000000"/>
          <w:sz w:val="22"/>
        </w:rPr>
        <w:t>RASopaties</w:t>
      </w:r>
      <w:proofErr w:type="spellEnd"/>
      <w:r w:rsidRPr="00852287">
        <w:rPr>
          <w:rFonts w:ascii="Arial" w:hAnsi="Arial" w:cs="Arial"/>
          <w:color w:val="000000"/>
          <w:sz w:val="22"/>
        </w:rPr>
        <w:t>, els algoritmes que hi ha darrere aquests panells segueixen tenint limitacions relacionades amb l’especificitat que cal millorar.</w:t>
      </w:r>
      <w:r w:rsidR="007359F6" w:rsidRPr="00852287">
        <w:rPr>
          <w:rFonts w:ascii="Arial" w:hAnsi="Arial" w:cs="Arial"/>
          <w:color w:val="000000"/>
          <w:sz w:val="22"/>
        </w:rPr>
        <w:t xml:space="preserve"> En resum, la dificultat alhora de classificar les variants s’aconsegueix resoldre d’alguna manera (no del tot satisfactòria segons l’opinió dels investigadors en el camp) amb l’ús de les guies establertes. Malgrat això, </w:t>
      </w:r>
      <w:r w:rsidR="00484A43" w:rsidRPr="00852287">
        <w:rPr>
          <w:rFonts w:ascii="Arial" w:hAnsi="Arial" w:cs="Arial"/>
          <w:color w:val="000000"/>
          <w:sz w:val="22"/>
        </w:rPr>
        <w:t xml:space="preserve">segueix sent un problema quan s’ha de fer de forma rutinària als laboratoris de diagnòstic molecular on es fan estudis de NGS, en aquests casos segueix sent necessari el disseny </w:t>
      </w:r>
      <w:proofErr w:type="spellStart"/>
      <w:r w:rsidR="00484A43" w:rsidRPr="00852287">
        <w:rPr>
          <w:rFonts w:ascii="Arial" w:hAnsi="Arial" w:cs="Arial"/>
          <w:color w:val="000000"/>
          <w:sz w:val="22"/>
        </w:rPr>
        <w:t>d’aplicatius</w:t>
      </w:r>
      <w:proofErr w:type="spellEnd"/>
      <w:r w:rsidR="00484A43" w:rsidRPr="00852287">
        <w:rPr>
          <w:rFonts w:ascii="Arial" w:hAnsi="Arial" w:cs="Arial"/>
          <w:color w:val="000000"/>
          <w:sz w:val="22"/>
        </w:rPr>
        <w:t xml:space="preserve"> que permetin fer la classificació de variant d’una manera semi-automàtica. </w:t>
      </w:r>
    </w:p>
    <w:p w:rsidR="00852287" w:rsidRDefault="00852287" w:rsidP="000F3FED">
      <w:pPr>
        <w:pStyle w:val="Standard"/>
        <w:spacing w:after="240" w:line="276" w:lineRule="auto"/>
        <w:jc w:val="both"/>
        <w:rPr>
          <w:rFonts w:ascii="Arial" w:hAnsi="Arial" w:cs="Arial"/>
          <w:color w:val="000000"/>
          <w:sz w:val="22"/>
        </w:rPr>
      </w:pPr>
    </w:p>
    <w:p w:rsidR="00852287" w:rsidRPr="00852287" w:rsidRDefault="00852287" w:rsidP="000F3FED">
      <w:pPr>
        <w:pStyle w:val="Standard"/>
        <w:spacing w:after="240" w:line="276" w:lineRule="auto"/>
        <w:jc w:val="both"/>
        <w:rPr>
          <w:rFonts w:ascii="Arial" w:hAnsi="Arial" w:cs="Arial"/>
          <w:color w:val="000000"/>
          <w:sz w:val="22"/>
        </w:rPr>
      </w:pPr>
    </w:p>
    <w:p w:rsidR="00065D11" w:rsidRPr="00852287" w:rsidRDefault="00852287" w:rsidP="000F3FED">
      <w:pPr>
        <w:pStyle w:val="Standard"/>
        <w:spacing w:after="240" w:line="276" w:lineRule="auto"/>
        <w:jc w:val="both"/>
        <w:rPr>
          <w:rFonts w:ascii="Arial" w:hAnsi="Arial" w:cs="Arial"/>
          <w:color w:val="21409A"/>
          <w:sz w:val="22"/>
        </w:rPr>
      </w:pPr>
      <w:r w:rsidRPr="00852287">
        <w:rPr>
          <w:rFonts w:ascii="Arial" w:hAnsi="Arial" w:cs="Arial"/>
          <w:color w:val="21409A"/>
          <w:sz w:val="22"/>
        </w:rPr>
        <w:lastRenderedPageBreak/>
        <w:t>• Objectius:</w:t>
      </w:r>
    </w:p>
    <w:p w:rsidR="00065D11" w:rsidRPr="00852287" w:rsidRDefault="00852287" w:rsidP="000F3FED">
      <w:pPr>
        <w:pStyle w:val="Textbody"/>
        <w:spacing w:after="240"/>
        <w:jc w:val="both"/>
        <w:rPr>
          <w:rFonts w:ascii="Arial" w:hAnsi="Arial" w:cs="Arial"/>
          <w:color w:val="000000"/>
          <w:sz w:val="22"/>
        </w:rPr>
      </w:pPr>
      <w:r w:rsidRPr="00852287">
        <w:rPr>
          <w:rFonts w:ascii="Arial" w:hAnsi="Arial" w:cs="Arial"/>
          <w:color w:val="000000"/>
          <w:sz w:val="22"/>
        </w:rPr>
        <w:t xml:space="preserve">L’objectiu principal del TFM és la creació o millora d’una eina bioinformàtica per l’anàlisi de dades genòmiques que faciliti la feina dels investigadors en l’àrea del diagnòstic genètic de les </w:t>
      </w:r>
      <w:proofErr w:type="spellStart"/>
      <w:r w:rsidRPr="00852287">
        <w:rPr>
          <w:rFonts w:ascii="Arial" w:hAnsi="Arial" w:cs="Arial"/>
          <w:color w:val="000000"/>
          <w:sz w:val="22"/>
        </w:rPr>
        <w:t>RASopaties</w:t>
      </w:r>
      <w:proofErr w:type="spellEnd"/>
      <w:r w:rsidRPr="00852287">
        <w:rPr>
          <w:rFonts w:ascii="Arial" w:hAnsi="Arial" w:cs="Arial"/>
          <w:color w:val="000000"/>
          <w:sz w:val="22"/>
        </w:rPr>
        <w:t xml:space="preserve">. En concret desenvolupar un </w:t>
      </w:r>
      <w:proofErr w:type="spellStart"/>
      <w:r w:rsidRPr="00852287">
        <w:rPr>
          <w:rFonts w:ascii="Arial" w:hAnsi="Arial" w:cs="Arial"/>
          <w:color w:val="000000"/>
          <w:sz w:val="22"/>
        </w:rPr>
        <w:t>aplicatiu</w:t>
      </w:r>
      <w:proofErr w:type="spellEnd"/>
      <w:r w:rsidRPr="00852287">
        <w:rPr>
          <w:rFonts w:ascii="Arial" w:hAnsi="Arial" w:cs="Arial"/>
          <w:color w:val="000000"/>
          <w:sz w:val="22"/>
        </w:rPr>
        <w:t xml:space="preserve"> per ajudar a la classificació de variants detectades a partir de NGS.</w:t>
      </w:r>
    </w:p>
    <w:p w:rsidR="00065D11" w:rsidRPr="00852287" w:rsidRDefault="00852287" w:rsidP="000F3FED">
      <w:pPr>
        <w:pStyle w:val="Standard"/>
        <w:spacing w:after="240" w:line="276" w:lineRule="auto"/>
        <w:jc w:val="both"/>
        <w:rPr>
          <w:rFonts w:ascii="Arial" w:hAnsi="Arial" w:cs="Arial"/>
          <w:color w:val="21409A"/>
          <w:sz w:val="22"/>
        </w:rPr>
      </w:pPr>
      <w:r w:rsidRPr="00852287">
        <w:rPr>
          <w:rFonts w:ascii="Arial" w:hAnsi="Arial" w:cs="Arial"/>
          <w:color w:val="21409A"/>
          <w:sz w:val="22"/>
        </w:rPr>
        <w:t>• Bibliografia:</w:t>
      </w:r>
      <w:bookmarkStart w:id="0" w:name="_GoBack"/>
      <w:bookmarkEnd w:id="0"/>
    </w:p>
    <w:p w:rsidR="002E015D" w:rsidRPr="002E015D" w:rsidRDefault="00852287" w:rsidP="002E015D">
      <w:pPr>
        <w:widowControl w:val="0"/>
        <w:autoSpaceDE w:val="0"/>
        <w:adjustRightInd w:val="0"/>
        <w:spacing w:after="240"/>
        <w:ind w:left="640" w:hanging="640"/>
        <w:rPr>
          <w:rFonts w:ascii="Arial" w:hAnsi="Arial" w:cs="Arial"/>
          <w:noProof/>
          <w:sz w:val="22"/>
        </w:rPr>
      </w:pPr>
      <w:r w:rsidRPr="00852287">
        <w:rPr>
          <w:rFonts w:ascii="Arial" w:hAnsi="Arial" w:cs="Arial"/>
          <w:color w:val="21409A"/>
          <w:sz w:val="22"/>
        </w:rPr>
        <w:fldChar w:fldCharType="begin" w:fldLock="1"/>
      </w:r>
      <w:r w:rsidRPr="00852287">
        <w:rPr>
          <w:rFonts w:ascii="Arial" w:hAnsi="Arial" w:cs="Arial"/>
          <w:color w:val="21409A"/>
          <w:sz w:val="22"/>
        </w:rPr>
        <w:instrText xml:space="preserve">ADDIN Mendeley Bibliography CSL_BIBLIOGRAPHY </w:instrText>
      </w:r>
      <w:r w:rsidRPr="00852287">
        <w:rPr>
          <w:rFonts w:ascii="Arial" w:hAnsi="Arial" w:cs="Arial"/>
          <w:color w:val="21409A"/>
          <w:sz w:val="22"/>
        </w:rPr>
        <w:fldChar w:fldCharType="separate"/>
      </w:r>
      <w:r w:rsidR="002E015D" w:rsidRPr="002E015D">
        <w:rPr>
          <w:rFonts w:ascii="Arial" w:hAnsi="Arial" w:cs="Arial"/>
          <w:noProof/>
          <w:sz w:val="22"/>
        </w:rPr>
        <w:t xml:space="preserve">1. </w:t>
      </w:r>
      <w:r w:rsidR="002E015D" w:rsidRPr="002E015D">
        <w:rPr>
          <w:rFonts w:ascii="Arial" w:hAnsi="Arial" w:cs="Arial"/>
          <w:noProof/>
          <w:sz w:val="22"/>
        </w:rPr>
        <w:tab/>
        <w:t xml:space="preserve">Richards S, Aziz N, Bale S, Bick D, Das S, Gastier-Foster J, et al. Standards and guidelines for the interpretation of sequence variants: a joint  consensus recommendation of the American College of Medical Genetics and Genomics and the Association for Molecular Pathology. Genet Med. 2015;17:405–24.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2. </w:t>
      </w:r>
      <w:r w:rsidRPr="002E015D">
        <w:rPr>
          <w:rFonts w:ascii="Arial" w:hAnsi="Arial" w:cs="Arial"/>
          <w:noProof/>
          <w:sz w:val="22"/>
        </w:rPr>
        <w:tab/>
        <w:t xml:space="preserve">Nava C, Hanna N, Michot C, Pereira S, Pouvreau N, Niihori T, et al. Cardio-facio-cutaneous and Noonan syndromes due to mutations in the RAS/MAPK  signalling pathway: genotype-phenotype relationships and overlap with Costello syndrome. J Med Genet. 2007;44:763–71.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3. </w:t>
      </w:r>
      <w:r w:rsidRPr="002E015D">
        <w:rPr>
          <w:rFonts w:ascii="Arial" w:hAnsi="Arial" w:cs="Arial"/>
          <w:noProof/>
          <w:sz w:val="22"/>
        </w:rPr>
        <w:tab/>
        <w:t xml:space="preserve">Pierpont MEM, Magoulas PL, Adi S, Kavamura MI, Neri G, Noonan J, et al. Cardio-facio-cutaneous syndrome: clinical features, diagnosis, and management  guidelines. Pediatrics. 2014;134:e1149-62.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4. </w:t>
      </w:r>
      <w:r w:rsidRPr="002E015D">
        <w:rPr>
          <w:rFonts w:ascii="Arial" w:hAnsi="Arial" w:cs="Arial"/>
          <w:noProof/>
          <w:sz w:val="22"/>
        </w:rPr>
        <w:tab/>
        <w:t xml:space="preserve">Rauen KA. The RASopathies. Annu Rev Genomics Hum Genet. 2013;14:355–69.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5. </w:t>
      </w:r>
      <w:r w:rsidRPr="002E015D">
        <w:rPr>
          <w:rFonts w:ascii="Arial" w:hAnsi="Arial" w:cs="Arial"/>
          <w:noProof/>
          <w:sz w:val="22"/>
        </w:rPr>
        <w:tab/>
        <w:t xml:space="preserve">Romano AA, Allanson JE, Dahlgren J, Gelb BD, Hall B, Pierpont ME, et al. Noonan syndrome: clinical features, diagnosis, and management guidelines. Pediatrics. United States; 2010;126:746–59.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6. </w:t>
      </w:r>
      <w:r w:rsidRPr="002E015D">
        <w:rPr>
          <w:rFonts w:ascii="Arial" w:hAnsi="Arial" w:cs="Arial"/>
          <w:noProof/>
          <w:sz w:val="22"/>
        </w:rPr>
        <w:tab/>
        <w:t xml:space="preserve">Tidyman WE, Rauen KA. The RASopathies: developmental syndromes of Ras/MAPK pathway dysregulation. Curr Opin Genet Dev. 2009;19:230–6.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7. </w:t>
      </w:r>
      <w:r w:rsidRPr="002E015D">
        <w:rPr>
          <w:rFonts w:ascii="Arial" w:hAnsi="Arial" w:cs="Arial"/>
          <w:noProof/>
          <w:sz w:val="22"/>
        </w:rPr>
        <w:tab/>
        <w:t xml:space="preserve">Grant AR, Cushman BJ, Cavé H, Dillon MW, Gelb BD, Gripp KW, et al. Assessing the gene-disease association of 19 genes with the RASopathies using the  ClinGen gene curation framework. Hum Mutat. 2018;39:1485–93.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8. </w:t>
      </w:r>
      <w:r w:rsidRPr="002E015D">
        <w:rPr>
          <w:rFonts w:ascii="Arial" w:hAnsi="Arial" w:cs="Arial"/>
          <w:noProof/>
          <w:sz w:val="22"/>
        </w:rPr>
        <w:tab/>
        <w:t xml:space="preserve">Gelb BD, Cavé H, Dillon MW, Gripp KW, Lee JA, Mason-Suares H, et al. ClinGen’s RASopathy Expert Panel consensus methods for variant interpretation. Genet Med. 2018;20:1334–45.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9. </w:t>
      </w:r>
      <w:r w:rsidRPr="002E015D">
        <w:rPr>
          <w:rFonts w:ascii="Arial" w:hAnsi="Arial" w:cs="Arial"/>
          <w:noProof/>
          <w:sz w:val="22"/>
        </w:rPr>
        <w:tab/>
        <w:t xml:space="preserve">Allanson JE, Roberts AE. Noonan Syndrome. In: Adam MP, Ardinger HH, Pagon RA, Wallace SE, Bean LJH, Stephens K, et al., editors. Seattle (WA); 1993. </w:t>
      </w:r>
    </w:p>
    <w:p w:rsidR="002E015D" w:rsidRPr="002E015D" w:rsidRDefault="002E015D" w:rsidP="002E015D">
      <w:pPr>
        <w:widowControl w:val="0"/>
        <w:autoSpaceDE w:val="0"/>
        <w:adjustRightInd w:val="0"/>
        <w:spacing w:after="240"/>
        <w:ind w:left="640" w:hanging="640"/>
        <w:rPr>
          <w:rFonts w:ascii="Arial" w:hAnsi="Arial" w:cs="Arial"/>
          <w:noProof/>
          <w:sz w:val="22"/>
        </w:rPr>
      </w:pPr>
      <w:r w:rsidRPr="002E015D">
        <w:rPr>
          <w:rFonts w:ascii="Arial" w:hAnsi="Arial" w:cs="Arial"/>
          <w:noProof/>
          <w:sz w:val="22"/>
        </w:rPr>
        <w:t xml:space="preserve">10. </w:t>
      </w:r>
      <w:r w:rsidRPr="002E015D">
        <w:rPr>
          <w:rFonts w:ascii="Arial" w:hAnsi="Arial" w:cs="Arial"/>
          <w:noProof/>
          <w:sz w:val="22"/>
        </w:rPr>
        <w:tab/>
        <w:t xml:space="preserve">Tartaglia M, Kalidas K, Shaw A, Song X, Musat DL, van der Burgt I, et al. PTPN11 mutations in Noonan syndrome: molecular spectrum, genotype-phenotype  correlation, and phenotypic heterogeneity. Am J Hum Genet. 2002;70:1555–63. </w:t>
      </w:r>
    </w:p>
    <w:p w:rsidR="00023E14" w:rsidRPr="00852287" w:rsidRDefault="00852287" w:rsidP="002E015D">
      <w:pPr>
        <w:widowControl w:val="0"/>
        <w:autoSpaceDE w:val="0"/>
        <w:adjustRightInd w:val="0"/>
        <w:spacing w:after="240"/>
        <w:ind w:left="640" w:hanging="640"/>
        <w:rPr>
          <w:rFonts w:ascii="Arial" w:hAnsi="Arial" w:cs="Arial"/>
          <w:color w:val="21409A"/>
          <w:sz w:val="22"/>
        </w:rPr>
      </w:pPr>
      <w:r w:rsidRPr="00852287">
        <w:rPr>
          <w:rFonts w:ascii="Arial" w:hAnsi="Arial" w:cs="Arial"/>
          <w:color w:val="21409A"/>
          <w:sz w:val="22"/>
        </w:rPr>
        <w:fldChar w:fldCharType="end"/>
      </w:r>
    </w:p>
    <w:p w:rsidR="00065D11" w:rsidRPr="00852287" w:rsidRDefault="00065D11" w:rsidP="000F3FED">
      <w:pPr>
        <w:pStyle w:val="Standard"/>
        <w:spacing w:after="240" w:line="276" w:lineRule="auto"/>
        <w:jc w:val="both"/>
        <w:rPr>
          <w:rFonts w:ascii="Arial" w:hAnsi="Arial" w:cs="Arial"/>
          <w:sz w:val="22"/>
        </w:rPr>
      </w:pPr>
    </w:p>
    <w:p w:rsidR="00065D11" w:rsidRPr="00852287" w:rsidRDefault="00065D11" w:rsidP="000F3FED">
      <w:pPr>
        <w:pStyle w:val="Textbody"/>
        <w:spacing w:after="240"/>
        <w:rPr>
          <w:rFonts w:ascii="Arial" w:hAnsi="Arial" w:cs="Arial"/>
          <w:color w:val="000000"/>
          <w:sz w:val="22"/>
        </w:rPr>
      </w:pPr>
    </w:p>
    <w:p w:rsidR="00065D11" w:rsidRPr="00852287" w:rsidRDefault="00065D11" w:rsidP="000F3FED">
      <w:pPr>
        <w:pStyle w:val="Standard"/>
        <w:spacing w:after="240" w:line="276" w:lineRule="auto"/>
        <w:jc w:val="both"/>
        <w:rPr>
          <w:rFonts w:ascii="Arial" w:hAnsi="Arial" w:cs="Arial"/>
          <w:color w:val="CE181E"/>
          <w:sz w:val="22"/>
        </w:rPr>
      </w:pPr>
    </w:p>
    <w:p w:rsidR="00065D11" w:rsidRPr="00852287" w:rsidRDefault="00065D11" w:rsidP="000F3FED">
      <w:pPr>
        <w:pStyle w:val="Standard"/>
        <w:spacing w:after="240" w:line="276" w:lineRule="auto"/>
        <w:jc w:val="both"/>
        <w:rPr>
          <w:rFonts w:ascii="Arial" w:hAnsi="Arial" w:cs="Arial"/>
          <w:color w:val="CE181E"/>
          <w:sz w:val="22"/>
        </w:rPr>
      </w:pPr>
    </w:p>
    <w:sectPr w:rsidR="00065D11" w:rsidRPr="00852287">
      <w:head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CCB" w:rsidRDefault="00852287">
      <w:r>
        <w:separator/>
      </w:r>
    </w:p>
  </w:endnote>
  <w:endnote w:type="continuationSeparator" w:id="0">
    <w:p w:rsidR="008C0CCB" w:rsidRDefault="0085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Verdana, sans-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CCB" w:rsidRDefault="00852287">
      <w:r>
        <w:rPr>
          <w:color w:val="000000"/>
        </w:rPr>
        <w:separator/>
      </w:r>
    </w:p>
  </w:footnote>
  <w:footnote w:type="continuationSeparator" w:id="0">
    <w:p w:rsidR="008C0CCB" w:rsidRDefault="00852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9B" w:rsidRDefault="00023E14">
    <w:pPr>
      <w:pStyle w:val="Encabezado"/>
      <w:jc w:val="right"/>
      <w:rPr>
        <w:rFonts w:ascii="Arial, Verdana, sans-serif" w:hAnsi="Arial, Verdana, sans-serif"/>
        <w:sz w:val="22"/>
        <w:szCs w:val="22"/>
      </w:rPr>
    </w:pPr>
    <w:r>
      <w:rPr>
        <w:rFonts w:ascii="Arial, Verdana, sans-serif" w:hAnsi="Arial, Verdana, sans-serif"/>
        <w:sz w:val="22"/>
        <w:szCs w:val="22"/>
      </w:rPr>
      <w:t>Esther Martinez Font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65D11"/>
    <w:rsid w:val="00023E14"/>
    <w:rsid w:val="00065D11"/>
    <w:rsid w:val="000F3FED"/>
    <w:rsid w:val="002E015D"/>
    <w:rsid w:val="00484A43"/>
    <w:rsid w:val="005057BF"/>
    <w:rsid w:val="0054262A"/>
    <w:rsid w:val="007359F6"/>
    <w:rsid w:val="00852287"/>
    <w:rsid w:val="008C0CCB"/>
    <w:rsid w:val="0099772E"/>
    <w:rsid w:val="00AA0291"/>
    <w:rsid w:val="00B818BD"/>
    <w:rsid w:val="00C800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ca-E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styleId="Textodeglobo">
    <w:name w:val="Balloon Text"/>
    <w:basedOn w:val="Normal"/>
    <w:link w:val="TextodegloboCar"/>
    <w:uiPriority w:val="99"/>
    <w:semiHidden/>
    <w:unhideWhenUsed/>
    <w:rsid w:val="005057BF"/>
    <w:rPr>
      <w:rFonts w:ascii="Tahoma" w:hAnsi="Tahoma" w:cs="Mangal"/>
      <w:sz w:val="16"/>
      <w:szCs w:val="14"/>
    </w:rPr>
  </w:style>
  <w:style w:type="character" w:customStyle="1" w:styleId="TextodegloboCar">
    <w:name w:val="Texto de globo Car"/>
    <w:basedOn w:val="Fuentedeprrafopredeter"/>
    <w:link w:val="Textodeglobo"/>
    <w:uiPriority w:val="99"/>
    <w:semiHidden/>
    <w:rsid w:val="005057BF"/>
    <w:rPr>
      <w:rFonts w:ascii="Tahoma" w:hAnsi="Tahoma" w:cs="Mangal"/>
      <w:sz w:val="16"/>
      <w:szCs w:val="14"/>
    </w:rPr>
  </w:style>
  <w:style w:type="paragraph" w:styleId="Piedepgina">
    <w:name w:val="footer"/>
    <w:basedOn w:val="Normal"/>
    <w:link w:val="PiedepginaCar"/>
    <w:uiPriority w:val="99"/>
    <w:unhideWhenUsed/>
    <w:rsid w:val="00023E1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023E14"/>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ca-E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styleId="Textodeglobo">
    <w:name w:val="Balloon Text"/>
    <w:basedOn w:val="Normal"/>
    <w:link w:val="TextodegloboCar"/>
    <w:uiPriority w:val="99"/>
    <w:semiHidden/>
    <w:unhideWhenUsed/>
    <w:rsid w:val="005057BF"/>
    <w:rPr>
      <w:rFonts w:ascii="Tahoma" w:hAnsi="Tahoma" w:cs="Mangal"/>
      <w:sz w:val="16"/>
      <w:szCs w:val="14"/>
    </w:rPr>
  </w:style>
  <w:style w:type="character" w:customStyle="1" w:styleId="TextodegloboCar">
    <w:name w:val="Texto de globo Car"/>
    <w:basedOn w:val="Fuentedeprrafopredeter"/>
    <w:link w:val="Textodeglobo"/>
    <w:uiPriority w:val="99"/>
    <w:semiHidden/>
    <w:rsid w:val="005057BF"/>
    <w:rPr>
      <w:rFonts w:ascii="Tahoma" w:hAnsi="Tahoma" w:cs="Mangal"/>
      <w:sz w:val="16"/>
      <w:szCs w:val="14"/>
    </w:rPr>
  </w:style>
  <w:style w:type="paragraph" w:styleId="Piedepgina">
    <w:name w:val="footer"/>
    <w:basedOn w:val="Normal"/>
    <w:link w:val="PiedepginaCar"/>
    <w:uiPriority w:val="99"/>
    <w:unhideWhenUsed/>
    <w:rsid w:val="00023E1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023E1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A1EE3-EFA5-42C7-8B06-D5504C35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7353</Words>
  <Characters>40443</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Obrador De Hevia</dc:creator>
  <cp:lastModifiedBy>Esther Martinez</cp:lastModifiedBy>
  <cp:revision>10</cp:revision>
  <dcterms:created xsi:type="dcterms:W3CDTF">2020-09-21T19:33:00Z</dcterms:created>
  <dcterms:modified xsi:type="dcterms:W3CDTF">2020-09-28T09:41:00Z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1949c9fc-5e44-3942-81aa-fcb41b8824f1</vt:lpwstr>
  </property>
  <property fmtid="{D5CDD505-2E9C-101B-9397-08002B2CF9AE}" pid="4" name="Mendeley Citation Style_1">
    <vt:lpwstr>http://csl.mendeley.com/styles/586115671/CANCERamerican-association-for-cancer-research-2</vt:lpwstr>
  </property>
</Properties>
</file>