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33.jpg" ContentType="image/jpeg"/>
  <Override PartName="/word/media/rId23.jpg" ContentType="image/jpeg"/>
  <Override PartName="/word/media/rId20.jpg" ContentType="image/jpeg"/>
  <Override PartName="/word/media/rId3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daily changes in a population of Salmonella in an urban creek</w:t>
      </w:r>
    </w:p>
    <w:p>
      <w:pPr>
        <w:pStyle w:val="Author"/>
      </w:pP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9">
        <w:r>
          <w:rPr>
            <w:rStyle w:val="Hyperlink"/>
          </w:rPr>
          <w:t xml:space="preserve">MS Word as output format</w:t>
        </w:r>
      </w:hyperlink>
      <w:r>
        <w:t xml:space="preserve">. See</w:t>
      </w:r>
      <w:r>
        <w:t xml:space="preserve"> </w:t>
      </w:r>
      <w:hyperlink r:id="rId10">
        <w:r>
          <w:rPr>
            <w:rStyle w:val="Hyperlink"/>
          </w:rPr>
          <w:t xml:space="preserve">the Quarto documentation</w:t>
        </w:r>
      </w:hyperlink>
      <w:r>
        <w:t xml:space="preserve"> </w:t>
      </w:r>
      <w:r>
        <w:t xml:space="preserve">for instructions on how to use other formats.</w:t>
      </w:r>
    </w:p>
    <w:p>
      <w:pPr>
        <w:pStyle w:val="BodyText"/>
      </w:pPr>
      <w:r>
        <w:rPr>
          <w:b/>
          <w:bCs/>
        </w:rPr>
        <w:t xml:space="preserve">Authors</w:t>
      </w:r>
    </w:p>
    <w:p>
      <w:pPr>
        <w:pStyle w:val="Compact"/>
        <w:numPr>
          <w:ilvl w:val="0"/>
          <w:numId w:val="1001"/>
        </w:numPr>
      </w:pPr>
      <w:r>
        <w:t xml:space="preserve">Esther Palmer</w:t>
      </w:r>
      <m:oMath>
        <m:sSup>
          <m:e>
            <m:r>
              <m:t>​</m:t>
            </m:r>
          </m:e>
          <m:sup>
            <m:r>
              <m:t>1</m:t>
            </m:r>
          </m:sup>
        </m:sSup>
      </m:oMath>
      <w:r>
        <w:t xml:space="preserve"> </w:t>
      </w:r>
      <w:r>
        <w:t xml:space="preserve">(ORCID: none yet)</w:t>
      </w:r>
    </w:p>
    <w:p>
      <w:pPr>
        <w:pStyle w:val="Compact"/>
        <w:numPr>
          <w:ilvl w:val="0"/>
          <w:numId w:val="1001"/>
        </w:numPr>
      </w:pPr>
      <w:r>
        <w:t xml:space="preserve">Dawson Deal</w:t>
      </w:r>
      <m:oMath>
        <m:sSup>
          <m:e>
            <m:r>
              <m:t>​</m:t>
            </m:r>
          </m:e>
          <m:sup>
            <m:r>
              <m:t>1</m:t>
            </m:r>
          </m:sup>
        </m:sSup>
      </m:oMath>
    </w:p>
    <w:p>
      <w:pPr>
        <w:pStyle w:val="Compact"/>
        <w:numPr>
          <w:ilvl w:val="0"/>
          <w:numId w:val="1001"/>
        </w:numPr>
      </w:pPr>
      <w:r>
        <w:t xml:space="preserve">Kaya Palukaitis</w:t>
      </w:r>
      <m:oMath>
        <m:sSup>
          <m:e>
            <m:r>
              <m:t>​</m:t>
            </m:r>
          </m:e>
          <m:sup>
            <m:r>
              <m:t>1</m:t>
            </m:r>
          </m:sup>
        </m:sSup>
      </m:oMath>
    </w:p>
    <w:p>
      <w:pPr>
        <w:pStyle w:val="Compact"/>
        <w:numPr>
          <w:ilvl w:val="0"/>
          <w:numId w:val="1001"/>
        </w:numPr>
      </w:pPr>
      <w:r>
        <w:t xml:space="preserve">Elisabeth Drake</w:t>
      </w:r>
      <m:oMath>
        <m:sSup>
          <m:e>
            <m:r>
              <m:t>​</m:t>
            </m:r>
          </m:e>
          <m:sup>
            <m:r>
              <m:t>2</m:t>
            </m:r>
          </m:sup>
        </m:sSup>
      </m:oMath>
    </w:p>
    <w:p>
      <w:pPr>
        <w:pStyle w:val="Compact"/>
        <w:numPr>
          <w:ilvl w:val="0"/>
          <w:numId w:val="1001"/>
        </w:numPr>
      </w:pPr>
      <w:r>
        <w:t xml:space="preserve">Erin Lipp</w:t>
      </w:r>
      <m:oMath>
        <m:sSup>
          <m:e>
            <m:r>
              <m:t>​</m:t>
            </m:r>
          </m:e>
          <m:sup>
            <m:r>
              <m:t>2</m:t>
            </m:r>
          </m:sup>
        </m:sSup>
      </m:oMath>
    </w:p>
    <w:p>
      <w:pPr>
        <w:pStyle w:val="Compact"/>
        <w:numPr>
          <w:ilvl w:val="0"/>
          <w:numId w:val="1001"/>
        </w:numPr>
      </w:pPr>
      <w:r>
        <w:t xml:space="preserve">Nikki Shariat</w:t>
      </w:r>
      <m:oMath>
        <m:sSup>
          <m:e>
            <m:r>
              <m:t>​</m:t>
            </m:r>
          </m:e>
          <m:sup>
            <m:r>
              <m:t>1</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Departments of Microbiology and Population Health, University of Georgia, Athens, GA, USA.</w:t>
      </w:r>
    </w:p>
    <w:p>
      <w:pPr>
        <w:pStyle w:val="Compact"/>
        <w:numPr>
          <w:ilvl w:val="0"/>
          <w:numId w:val="1002"/>
        </w:numPr>
      </w:pPr>
      <w:r>
        <w:t xml:space="preserve">Environmental Health Science University of Georgia,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nikki.shariat@uga.edu</w:t>
      </w:r>
    </w:p>
    <w:p>
      <w:r>
        <w:br w:type="page"/>
      </w:r>
    </w:p>
    <w:bookmarkStart w:id="11" w:name="summaryabstract"/>
    <w:p>
      <w:pPr>
        <w:pStyle w:val="Heading1"/>
      </w:pPr>
      <w:r>
        <w:t xml:space="preserve">1. Summary/Abstract</w:t>
      </w:r>
    </w:p>
    <w:p>
      <w:pPr>
        <w:pStyle w:val="FirstParagraph"/>
      </w:pPr>
      <w:r>
        <w:rPr>
          <w:i/>
          <w:iCs/>
        </w:rPr>
        <w:t xml:space="preserve">Salmonella enterica</w:t>
      </w:r>
      <w:r>
        <w:t xml:space="preserve"> </w:t>
      </w:r>
      <w:r>
        <w:t xml:space="preserve">is frequently found in surface water across the United States. Contaminated surface water has been demonstrated to be a food safety risk, as such it is vital to understand when</w:t>
      </w:r>
      <w:r>
        <w:t xml:space="preserve"> </w:t>
      </w:r>
      <w:r>
        <w:rPr>
          <w:i/>
          <w:iCs/>
        </w:rPr>
        <w:t xml:space="preserve">Salmonella</w:t>
      </w:r>
      <w:r>
        <w:t xml:space="preserve"> </w:t>
      </w:r>
      <w:r>
        <w:t xml:space="preserve">enters such systems. This study characterized changes to the</w:t>
      </w:r>
      <w:r>
        <w:t xml:space="preserve"> </w:t>
      </w:r>
      <w:r>
        <w:rPr>
          <w:i/>
          <w:iCs/>
        </w:rPr>
        <w:t xml:space="preserve">Salmonella</w:t>
      </w:r>
      <w:r>
        <w:t xml:space="preserve"> </w:t>
      </w:r>
      <w:r>
        <w:t xml:space="preserve">population of an urban creek by sampling for</w:t>
      </w:r>
      <w:r>
        <w:t xml:space="preserve"> </w:t>
      </w:r>
      <w:r>
        <w:rPr>
          <w:i/>
          <w:iCs/>
        </w:rPr>
        <w:t xml:space="preserve">Salmonella</w:t>
      </w:r>
      <w:r>
        <w:t xml:space="preserve"> </w:t>
      </w:r>
      <w:r>
        <w:t xml:space="preserve">every weekday for six months. Environmental data were collected at the time of sampling, and weather variables were collected from a local weather station.</w:t>
      </w:r>
      <w:r>
        <w:t xml:space="preserve"> </w:t>
      </w:r>
      <w:r>
        <w:rPr>
          <w:i/>
          <w:iCs/>
        </w:rPr>
        <w:t xml:space="preserve">Salmonella</w:t>
      </w:r>
      <w:r>
        <w:t xml:space="preserve"> </w:t>
      </w:r>
      <w:r>
        <w:t xml:space="preserve">prevalence was 97%, with an average of 3.89 serovars per sample. Linear regression modeling found pH, rain, turbidity, and wind speed to be important factor for predicting</w:t>
      </w:r>
      <w:r>
        <w:t xml:space="preserve"> </w:t>
      </w:r>
      <w:r>
        <w:rPr>
          <w:i/>
          <w:iCs/>
        </w:rPr>
        <w:t xml:space="preserve">Salmonella</w:t>
      </w:r>
      <w:r>
        <w:t xml:space="preserve"> </w:t>
      </w:r>
      <w:r>
        <w:t xml:space="preserve">complexity.</w:t>
      </w:r>
    </w:p>
    <w:bookmarkEnd w:id="11"/>
    <w:bookmarkStart w:id="15" w:name="introduction"/>
    <w:p>
      <w:pPr>
        <w:pStyle w:val="Heading1"/>
      </w:pPr>
      <w:r>
        <w:t xml:space="preserve">2. Introduction</w:t>
      </w:r>
    </w:p>
    <w:bookmarkStart w:id="12" w:name="general-background-information"/>
    <w:p>
      <w:pPr>
        <w:pStyle w:val="Heading2"/>
      </w:pPr>
      <w:r>
        <w:t xml:space="preserve">2.1 General Background Information</w:t>
      </w:r>
    </w:p>
    <w:p>
      <w:pPr>
        <w:pStyle w:val="FirstParagraph"/>
      </w:pPr>
      <w:r>
        <w:rPr>
          <w:i/>
          <w:iCs/>
        </w:rPr>
        <w:t xml:space="preserve">Salmonella enterica</w:t>
      </w:r>
      <w:r>
        <w:t xml:space="preserve"> </w:t>
      </w:r>
      <w:r>
        <w:t xml:space="preserve">is an enteric pathogen that alternates between growth in a host and survival in environmental reservoirs, such as in freshwater, soil, and dust (Gorski et al., 2011; Li et al., 2015; Pal et al., 2022).</w:t>
      </w:r>
      <w:r>
        <w:t xml:space="preserve"> </w:t>
      </w:r>
      <w:r>
        <w:rPr>
          <w:i/>
          <w:iCs/>
        </w:rPr>
        <w:t xml:space="preserve">Salmonella</w:t>
      </w:r>
      <w:r>
        <w:t xml:space="preserve"> </w:t>
      </w:r>
      <w:r>
        <w:t xml:space="preserve">has been repeatedly isolated from surface water across the United States with prevalence ranging from 4-100% (Deaven et al., 2021; Gorski et al., 2011; Havelaar et al., 2017; Maurer et al., 2015; Smith et al., 2025). Approximately 52% of the irrigation water in the US comes from surface water (Dieter et al., 2018), and contaminated surface water has been shown to be a risk for produce contamination (FDA, 2025, 2024b; Greene et al., 2008).</w:t>
      </w:r>
      <w:r>
        <w:t xml:space="preserve"> </w:t>
      </w:r>
      <w:r>
        <w:rPr>
          <w:i/>
          <w:iCs/>
        </w:rPr>
        <w:t xml:space="preserve">Salmonella</w:t>
      </w:r>
      <w:r>
        <w:t xml:space="preserve"> </w:t>
      </w:r>
      <w:r>
        <w:t xml:space="preserve">is an highly diverse organism with over 2,600 different serovars (Grimont, n.d.). However, not all serovars pose equal food safety risks. Some are considered host-restricted, able to infect only one host. For example, serovar Typhi is a human host-restricted serovar responsible for typhoid fever. Others are considered host-adapted, able to best infect one host and sometimes others. Serovar Dublin, which is primarily associated with cattle but also sometimes responsible for human illness, is one instance of this. And some, such as serovar Typhimurium, are considered host-promiscuous, able to infect a wide variety of hosts (Uzzau et al., 2000). As such it is important to study</w:t>
      </w:r>
      <w:r>
        <w:t xml:space="preserve"> </w:t>
      </w:r>
      <w:r>
        <w:rPr>
          <w:i/>
          <w:iCs/>
        </w:rPr>
        <w:t xml:space="preserve">Salmonella</w:t>
      </w:r>
      <w:r>
        <w:t xml:space="preserve"> </w:t>
      </w:r>
      <w:r>
        <w:t xml:space="preserve">population dynamics on a serovar level. While</w:t>
      </w:r>
      <w:r>
        <w:t xml:space="preserve"> </w:t>
      </w:r>
      <w:r>
        <w:rPr>
          <w:i/>
          <w:iCs/>
        </w:rPr>
        <w:t xml:space="preserve">Salmonella</w:t>
      </w:r>
      <w:r>
        <w:t xml:space="preserve"> </w:t>
      </w:r>
      <w:r>
        <w:t xml:space="preserve">prevalence in surface water is well characterized, and it has been shown that</w:t>
      </w:r>
      <w:r>
        <w:t xml:space="preserve"> </w:t>
      </w:r>
      <w:r>
        <w:rPr>
          <w:i/>
          <w:iCs/>
        </w:rPr>
        <w:t xml:space="preserve">Salmonella</w:t>
      </w:r>
      <w:r>
        <w:t xml:space="preserve"> </w:t>
      </w:r>
      <w:r>
        <w:t xml:space="preserve">exists in complex multi-serovar populations in water (Deaven et al., 2021; Smith et al., 2025), not much is known about how complex serovar populations are in surface water, nor how frequently these populations turn over, if at all. Most studies either sample a large number of sites at one timepoint, or sample a smaller number of sites a few times, often with weeks, months, or years in between sampling. This does not provide sufficient temporal resolution to assess how frequently</w:t>
      </w:r>
      <w:r>
        <w:t xml:space="preserve"> </w:t>
      </w:r>
      <w:r>
        <w:rPr>
          <w:i/>
          <w:iCs/>
        </w:rPr>
        <w:t xml:space="preserve">Salmonella</w:t>
      </w:r>
      <w:r>
        <w:t xml:space="preserve"> </w:t>
      </w:r>
      <w:r>
        <w:t xml:space="preserve">populations change and what factors can affect these changes. It should also be noted few of these studies capture the full variety of salmonellae in the environment as most rely on the characterization of single isolates, which can miss serovars that are present at lower relative frequencies.</w:t>
      </w:r>
    </w:p>
    <w:p>
      <w:pPr>
        <w:pStyle w:val="BodyText"/>
      </w:pPr>
      <w:r>
        <w:t xml:space="preserve">There have been many attempts to model</w:t>
      </w:r>
      <w:r>
        <w:t xml:space="preserve"> </w:t>
      </w:r>
      <w:r>
        <w:rPr>
          <w:i/>
          <w:iCs/>
        </w:rPr>
        <w:t xml:space="preserve">Salmonella</w:t>
      </w:r>
      <w:r>
        <w:t xml:space="preserve"> </w:t>
      </w:r>
      <w:r>
        <w:t xml:space="preserve">prevalence in water (Gorski et al., 2011; Haley et al., 2009; Smith et al., 2025). These papers have often been contradictory, with some finding certain factors such as rainfall or temperature to be important (Deaven et al., 2021; D. Weller et al., 2020) and others finding these factors unimportant or even negatively correlated (McEgan et al., 2013; Strawn et al., 2013). One major systemic review on</w:t>
      </w:r>
      <w:r>
        <w:t xml:space="preserve"> </w:t>
      </w:r>
      <w:r>
        <w:rPr>
          <w:i/>
          <w:iCs/>
        </w:rPr>
        <w:t xml:space="preserve">Salmonella</w:t>
      </w:r>
      <w:r>
        <w:t xml:space="preserve"> </w:t>
      </w:r>
      <w:r>
        <w:t xml:space="preserve">prevalence in water found that sampling methodology among other things can affect comparability between studies (D. L. Weller et al., 2024). Variations in</w:t>
      </w:r>
      <w:r>
        <w:t xml:space="preserve"> </w:t>
      </w:r>
      <w:r>
        <w:rPr>
          <w:i/>
          <w:iCs/>
        </w:rPr>
        <w:t xml:space="preserve">Salmonella</w:t>
      </w:r>
      <w:r>
        <w:t xml:space="preserve"> </w:t>
      </w:r>
      <w:r>
        <w:t xml:space="preserve">detection due to sampling methodology could easily transfer to variations in model outcomes. In the end, much of the evidence points towards modeling only being effective for the given system. As such, this project seeks to model for</w:t>
      </w:r>
      <w:r>
        <w:t xml:space="preserve"> </w:t>
      </w:r>
      <w:r>
        <w:rPr>
          <w:i/>
          <w:iCs/>
        </w:rPr>
        <w:t xml:space="preserve">Salmonella</w:t>
      </w:r>
      <w:r>
        <w:t xml:space="preserve"> </w:t>
      </w:r>
      <w:r>
        <w:t xml:space="preserve">complexity (defined as the number of serovars in a sample) in the hopes that it is a more replicatable metric.</w:t>
      </w:r>
    </w:p>
    <w:bookmarkEnd w:id="12"/>
    <w:bookmarkStart w:id="13" w:name="description-of-data-and-data-source"/>
    <w:p>
      <w:pPr>
        <w:pStyle w:val="Heading2"/>
      </w:pPr>
      <w:r>
        <w:t xml:space="preserve">2.2 Description of data and data source</w:t>
      </w:r>
    </w:p>
    <w:p>
      <w:pPr>
        <w:pStyle w:val="FirstParagraph"/>
      </w:pPr>
      <w:r>
        <w:t xml:space="preserve">Sampling for</w:t>
      </w:r>
      <w:r>
        <w:t xml:space="preserve"> </w:t>
      </w:r>
      <w:r>
        <w:rPr>
          <w:i/>
          <w:iCs/>
        </w:rPr>
        <w:t xml:space="preserve">Salmonella</w:t>
      </w:r>
      <w:r>
        <w:t xml:space="preserve"> </w:t>
      </w:r>
      <w:r>
        <w:t xml:space="preserve">was conducted at an urban creek every weekday for 6 months, and then once a week for another 9 months.</w:t>
      </w:r>
      <w:r>
        <w:t xml:space="preserve"> </w:t>
      </w:r>
      <w:r>
        <w:rPr>
          <w:i/>
          <w:iCs/>
        </w:rPr>
        <w:t xml:space="preserve">Salmonella</w:t>
      </w:r>
      <w:r>
        <w:t xml:space="preserve"> </w:t>
      </w:r>
      <w:r>
        <w:t xml:space="preserve">prevalence during daily sampling was extremely high with 97% (n=127/131) of samples positive. CRISPR-SeroSeq was performed on all positive samples, and generated serovar profiles for 106 samples. There were 26 serovars identified in total.</w:t>
      </w:r>
      <w:r>
        <w:t xml:space="preserve"> </w:t>
      </w:r>
      <w:r>
        <w:t xml:space="preserve">Environmental data was collected at time of sampling, as well as weather data from the nearest UGA weather station (Georgia Weather - Automated Environmental Monitoring Network Page, n.d.), for a total of 20 variables total.</w:t>
      </w:r>
    </w:p>
    <w:bookmarkEnd w:id="13"/>
    <w:bookmarkStart w:id="14" w:name="questionshypotheses-to-be-addressed"/>
    <w:p>
      <w:pPr>
        <w:pStyle w:val="Heading2"/>
      </w:pPr>
      <w:r>
        <w:t xml:space="preserve">2.3 Questions/Hypotheses to be addressed</w:t>
      </w:r>
    </w:p>
    <w:p>
      <w:pPr>
        <w:pStyle w:val="FirstParagraph"/>
      </w:pPr>
      <w:r>
        <w:t xml:space="preserve">The objective of this project was to use CRISPR SeroSeq, a deep serotyping technique, to assess the following:</w:t>
      </w:r>
      <w:r>
        <w:t xml:space="preserve"> </w:t>
      </w:r>
      <w:r>
        <w:t xml:space="preserve">Evaluate changes to</w:t>
      </w:r>
      <w:r>
        <w:t xml:space="preserve"> </w:t>
      </w:r>
      <w:r>
        <w:rPr>
          <w:i/>
          <w:iCs/>
        </w:rPr>
        <w:t xml:space="preserve">Salmonella</w:t>
      </w:r>
      <w:r>
        <w:t xml:space="preserve"> </w:t>
      </w:r>
      <w:r>
        <w:t xml:space="preserve">serovar populations surface water over time, and,</w:t>
      </w:r>
      <w:r>
        <w:t xml:space="preserve"> </w:t>
      </w:r>
      <w:r>
        <w:t xml:space="preserve">Determine what environmental and/or weather factors influence</w:t>
      </w:r>
      <w:r>
        <w:t xml:space="preserve"> </w:t>
      </w:r>
      <w:r>
        <w:rPr>
          <w:i/>
          <w:iCs/>
        </w:rPr>
        <w:t xml:space="preserve">Salmonella</w:t>
      </w:r>
      <w:r>
        <w:t xml:space="preserve"> </w:t>
      </w:r>
      <w:r>
        <w:t xml:space="preserve">population complexity.</w:t>
      </w:r>
    </w:p>
    <w:bookmarkEnd w:id="14"/>
    <w:bookmarkEnd w:id="15"/>
    <w:bookmarkStart w:id="19" w:name="methods"/>
    <w:p>
      <w:pPr>
        <w:pStyle w:val="Heading1"/>
      </w:pPr>
      <w:r>
        <w:t xml:space="preserve">3. Methods</w:t>
      </w:r>
    </w:p>
    <w:bookmarkStart w:id="16" w:name="data-acquisition"/>
    <w:p>
      <w:pPr>
        <w:pStyle w:val="Heading2"/>
      </w:pPr>
      <w:r>
        <w:t xml:space="preserve">3.1 Data acquisition</w:t>
      </w:r>
    </w:p>
    <w:p>
      <w:pPr>
        <w:pStyle w:val="FirstParagraph"/>
      </w:pPr>
      <w:r>
        <w:t xml:space="preserve">The study location sits on a suburban creek surrounded by riparian zones. This site was chosen due to the observation in a previous study that the serovars present were markedly different to those in proximal sites up and down stream (Smith et al., 2025). Sampling was conducted every weekday for 6 months, for a total of 162 sample collections. A carboy was used to collect 10L of creek water that was transported to the lab and immediately filtered through a modified Moore swab. Buffered peptone water, (BPW) was added to the swabs and incubated at 42°C for 24 hours. Three different selective enrichment media Tetrathionate (TT), Rappaport-Vassiliadis (RV), and modified semisolid Rappaport-Vassiliadis (MSRV) were inoculated with the BPW culture and incubated at 37°C overnight. These different media were chosen to maximize</w:t>
      </w:r>
      <w:r>
        <w:t xml:space="preserve"> </w:t>
      </w:r>
      <w:r>
        <w:rPr>
          <w:i/>
          <w:iCs/>
        </w:rPr>
        <w:t xml:space="preserve">Salmonella</w:t>
      </w:r>
      <w:r>
        <w:t xml:space="preserve"> </w:t>
      </w:r>
      <w:r>
        <w:t xml:space="preserve">recovery, specifically to improve the isolation of different</w:t>
      </w:r>
      <w:r>
        <w:t xml:space="preserve"> </w:t>
      </w:r>
      <w:r>
        <w:rPr>
          <w:i/>
          <w:iCs/>
        </w:rPr>
        <w:t xml:space="preserve">Salmonella</w:t>
      </w:r>
      <w:r>
        <w:t xml:space="preserve"> </w:t>
      </w:r>
      <w:r>
        <w:t xml:space="preserve">serovars. The cultures were then plated onto xylose lysine tergitol-4 agar (XLT4) and brilliant green agar (BGS). DNA was isolated from 1mL of the TT and RV cultures that were</w:t>
      </w:r>
      <w:r>
        <w:t xml:space="preserve"> </w:t>
      </w:r>
      <w:r>
        <w:rPr>
          <w:i/>
          <w:iCs/>
        </w:rPr>
        <w:t xml:space="preserve">Salmonella</w:t>
      </w:r>
      <w:r>
        <w:t xml:space="preserve"> </w:t>
      </w:r>
      <w:r>
        <w:t xml:space="preserve">positive and used as a template for CRISPR-SeroSeq analysis.</w:t>
      </w:r>
      <w:r>
        <w:t xml:space="preserve"> </w:t>
      </w:r>
      <w:r>
        <w:t xml:space="preserve">Deep serotyping was performed as described (Smith et al., 2025). Briefly, at the time of culture, 1 mL each of BPW preenriched culture and RV and TT selectively enriched cultures were transferred to a microcentrifuge tube and centrifuged at 14,000 rpm for 3 minutes. After removing the supernatant, the pellets were stored at -20℃. Total genomic DNA was isolated from TT and RV pellets corresponding to</w:t>
      </w:r>
      <w:r>
        <w:t xml:space="preserve"> </w:t>
      </w:r>
      <w:r>
        <w:rPr>
          <w:i/>
          <w:iCs/>
        </w:rPr>
        <w:t xml:space="preserve">Salmonella</w:t>
      </w:r>
      <w:r>
        <w:t xml:space="preserve">-positive cultures using Promega Genome Wizard kit (Madison, WI) according to the manufacturer’s instructions and resuspended in 200 µL of molecular-grade water and stored at -20℃. If neither RV nor TT was positive but MSRV was, then 1mL of the BPW was used for DNA isolation instead. PCR was performed targeting the conserved direct repeats of the CRISPR array within each sample, primers contained index sequences to facilitate multiplexed high throughput sequencing. PCR products were purified using the AMPure system (Beckman Coulter, Indianapolis, IN). Pooled libraries were sequenced using the Illumina NextSeq 550 platform. Resultant sequences were assigned to known CRISPR arrays to determine the number and identify of all serovars within a sample. A threshold of 1000 reads in a sample was applied. Serovars were only called if they had 0.5% of reads or more assigned to them. DESeq2 was applied to normalize reads across all samples (Love et al., 2014). When possible, RV and TT libraries from the same sample were combined.</w:t>
      </w:r>
      <w:r>
        <w:t xml:space="preserve"> </w:t>
      </w:r>
      <w:r>
        <w:t xml:space="preserve">It should be noted that several serovars within this study are polyphyletic, meaning that there are multiple lineages of the same serovar with different genetic backgrounds but the same O and H antigens. DST is able to distinguish between these different lineages as they often have different CRISPR arrays. As such, these lineages are denoted using roman numerals. There are also some serovars that are unable to be distinguished by CRISPR-seroseq, such as Aqua and Inverness, denoted as AquaInve.</w:t>
      </w:r>
    </w:p>
    <w:bookmarkEnd w:id="16"/>
    <w:bookmarkStart w:id="17" w:name="data-import-and-cleaning"/>
    <w:p>
      <w:pPr>
        <w:pStyle w:val="Heading2"/>
      </w:pPr>
      <w:r>
        <w:t xml:space="preserve">3.2 Data import and cleaning</w:t>
      </w:r>
    </w:p>
    <w:p>
      <w:pPr>
        <w:pStyle w:val="FirstParagraph"/>
      </w:pPr>
      <w:r>
        <w:t xml:space="preserve">Data was analyzed using R version 4.5.3. Data was imported into R, cleaned, and the CRISPR-SeroSeq data was merged with the Environmental and weather data. Sample complexity was calculated by counting the number of serovars in a given sample.</w:t>
      </w:r>
    </w:p>
    <w:bookmarkEnd w:id="17"/>
    <w:bookmarkStart w:id="18" w:name="statistical-analysis"/>
    <w:p>
      <w:pPr>
        <w:pStyle w:val="Heading2"/>
      </w:pPr>
      <w:r>
        <w:t xml:space="preserve">3.3 Statistical analysis</w:t>
      </w:r>
    </w:p>
    <w:p>
      <w:pPr>
        <w:pStyle w:val="FirstParagraph"/>
      </w:pPr>
      <w:r>
        <w:t xml:space="preserve">Since linear regressions assume that no variables are correlated, a Pearson’s correlation was done to determine if any predictor variables correlate with each other. Predictor variables with a correlation greater than 0.75 were removed from further analysis.</w:t>
      </w:r>
    </w:p>
    <w:p>
      <w:pPr>
        <w:pStyle w:val="BodyText"/>
      </w:pPr>
      <w:r>
        <w:t xml:space="preserve">The tidymodels framework was used to create several linear regression models. Subset selection was undergone by iteratively removing the predictor with the largest p-value until only predictors with p&lt; 0.05 remained. A random forest model with all predictors was also done. Cross validation was done on all models, and models were compared using rmse.</w:t>
      </w:r>
    </w:p>
    <w:p>
      <w:r>
        <w:br w:type="page"/>
      </w:r>
    </w:p>
    <w:bookmarkEnd w:id="18"/>
    <w:bookmarkEnd w:id="19"/>
    <w:bookmarkStart w:id="40" w:name="results"/>
    <w:p>
      <w:pPr>
        <w:pStyle w:val="Heading1"/>
      </w:pPr>
      <w:r>
        <w:t xml:space="preserve">4. Results</w:t>
      </w:r>
    </w:p>
    <w:bookmarkStart w:id="29" w:name="exploratorydescriptive-analysis"/>
    <w:p>
      <w:pPr>
        <w:pStyle w:val="Heading2"/>
      </w:pPr>
      <w:r>
        <w:t xml:space="preserve">4.1 Exploratory/Descriptive analysis</w:t>
      </w:r>
    </w:p>
    <w:p>
      <w:pPr>
        <w:pStyle w:val="FirstParagraph"/>
      </w:pPr>
      <w:r>
        <w:t xml:space="preserve">There are on average 3.89 serovars per sample on the daily sampling, with a range from 1-11 serovars. Nearly 90% of samples contain more than one serovar (Figure 1).</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"complexity_histogram.jpeg"</w:t>
      </w:r>
      <w:r>
        <w:rPr>
          <w:rStyle w:val="NormalTok"/>
        </w:rPr>
        <w:t xml:space="preserve">))</w:t>
      </w:r>
    </w:p>
    <w:p>
      <w:pPr>
        <w:pStyle w:val="FirstParagraph"/>
      </w:pPr>
      <w:r>
        <w:drawing>
          <wp:inline>
            <wp:extent cx="4572000" cy="2743200"/>
            <wp:effectExtent b="0" l="0" r="0" t="0"/>
            <wp:docPr descr="" title="" id="21" name="Picture"/>
            <a:graphic>
              <a:graphicData uri="http://schemas.openxmlformats.org/drawingml/2006/picture">
                <pic:pic>
                  <pic:nvPicPr>
                    <pic:cNvPr descr="../../results/figures/complexity_histogram.jpeg" id="22" name="Picture"/>
                    <pic:cNvPicPr>
                      <a:picLocks noChangeArrowheads="1" noChangeAspect="1"/>
                    </pic:cNvPicPr>
                  </pic:nvPicPr>
                  <pic:blipFill>
                    <a:blip r:embed="rId20"/>
                    <a:stretch>
                      <a:fillRect/>
                    </a:stretch>
                  </pic:blipFill>
                  <pic:spPr bwMode="auto">
                    <a:xfrm>
                      <a:off x="0" y="0"/>
                      <a:ext cx="4572000" cy="2743200"/>
                    </a:xfrm>
                    <a:prstGeom prst="rect">
                      <a:avLst/>
                    </a:prstGeom>
                    <a:noFill/>
                    <a:ln w="9525">
                      <a:noFill/>
                      <a:headEnd/>
                      <a:tailEnd/>
                    </a:ln>
                  </pic:spPr>
                </pic:pic>
              </a:graphicData>
            </a:graphic>
          </wp:inline>
        </w:drawing>
      </w:r>
    </w:p>
    <w:p>
      <w:pPr>
        <w:pStyle w:val="BodyText"/>
      </w:pPr>
      <w:r>
        <w:t xml:space="preserve">Figure 1:</w:t>
      </w:r>
      <w:r>
        <w:t xml:space="preserve"> </w:t>
      </w:r>
      <w:r>
        <w:rPr>
          <w:i/>
          <w:iCs/>
        </w:rPr>
        <w:t xml:space="preserve">Salmonella</w:t>
      </w:r>
      <w:r>
        <w:t xml:space="preserve"> </w:t>
      </w:r>
      <w:r>
        <w:t xml:space="preserve">exists in complex populations within an urban creek</w:t>
      </w:r>
    </w:p>
    <w:p>
      <w:pPr>
        <w:pStyle w:val="BodyText"/>
      </w:pPr>
      <w:r>
        <w:t xml:space="preserve">An area plot of proportions of each serovar over time demonstrates that the</w:t>
      </w:r>
      <w:r>
        <w:t xml:space="preserve"> </w:t>
      </w:r>
      <w:r>
        <w:rPr>
          <w:i/>
          <w:iCs/>
        </w:rPr>
        <w:t xml:space="preserve">Salmonella</w:t>
      </w:r>
      <w:r>
        <w:t xml:space="preserve"> </w:t>
      </w:r>
      <w:r>
        <w:t xml:space="preserve">population within the creek changes rapidly. Some serovars such as MontevideoII, MuenchenI, and Rubislaw are seen extremely frequently, being present in upwards of 80% of samples. These serovars could be considered environmentally endemic. Meanwhile several serovars such as Typhimurium, Newport, Agbeni, and Oranienburg seem to be more transient, present for a few days before diappearing, often in cyclical patterns (Figure 2).</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"areaplot.jpeg"</w:t>
      </w:r>
      <w:r>
        <w:rPr>
          <w:rStyle w:val="NormalTok"/>
        </w:rPr>
        <w:t xml:space="preserve">))</w:t>
      </w:r>
    </w:p>
    <w:p>
      <w:pPr>
        <w:pStyle w:val="FirstParagraph"/>
      </w:pPr>
      <w:r>
        <w:drawing>
          <wp:inline>
            <wp:extent cx="5334000" cy="2000250"/>
            <wp:effectExtent b="0" l="0" r="0" t="0"/>
            <wp:docPr descr="" title="" id="24" name="Picture"/>
            <a:graphic>
              <a:graphicData uri="http://schemas.openxmlformats.org/drawingml/2006/picture">
                <pic:pic>
                  <pic:nvPicPr>
                    <pic:cNvPr descr="../../results/figures/areaplot.jpeg" id="25" name="Picture"/>
                    <pic:cNvPicPr>
                      <a:picLocks noChangeArrowheads="1" noChangeAspect="1"/>
                    </pic:cNvPicPr>
                  </pic:nvPicPr>
                  <pic:blipFill>
                    <a:blip r:embed="rId23"/>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t xml:space="preserve">Figure 2: The</w:t>
      </w:r>
      <w:r>
        <w:t xml:space="preserve"> </w:t>
      </w:r>
      <w:r>
        <w:rPr>
          <w:i/>
          <w:iCs/>
        </w:rPr>
        <w:t xml:space="preserve">Salmonella</w:t>
      </w:r>
      <w:r>
        <w:t xml:space="preserve"> </w:t>
      </w:r>
      <w:r>
        <w:t xml:space="preserve">population in an urban creek exhibits dynamic daily changes. Spikes represent the proportion of each sample each serovar represents. Days are numbered from start of sampling. Serovars considered environmentally endemic are colored in grey, while transient serovars are brightly colored.</w:t>
      </w:r>
    </w:p>
    <w:p>
      <w:pPr>
        <w:pStyle w:val="BodyText"/>
      </w:pPr>
      <w:r>
        <w:t xml:space="preserve">A Pearson’s correlation was done to determine if any predictor variables correlate with each other, and variables with a correlation greater than 0.75 were removed from further analysis. EDA plots were created to determine the relationship between complexity and each predictor variable, the kept variables are shown in Figure 3. No variables had an obviously non-linear relationship with complexity.</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"CombinedEDA.jpeg"</w:t>
      </w:r>
      <w:r>
        <w:rPr>
          <w:rStyle w:val="NormalTok"/>
        </w:rPr>
        <w:t xml:space="preserve">))</w:t>
      </w:r>
    </w:p>
    <w:p>
      <w:pPr>
        <w:pStyle w:val="FirstParagraph"/>
      </w:pPr>
      <w:r>
        <w:drawing>
          <wp:inline>
            <wp:extent cx="5334000" cy="3200400"/>
            <wp:effectExtent b="0" l="0" r="0" t="0"/>
            <wp:docPr descr="" title="" id="27" name="Picture"/>
            <a:graphic>
              <a:graphicData uri="http://schemas.openxmlformats.org/drawingml/2006/picture">
                <pic:pic>
                  <pic:nvPicPr>
                    <pic:cNvPr descr="../../results/figures/CombinedEDA.jpeg" id="28" name="Picture"/>
                    <pic:cNvPicPr>
                      <a:picLocks noChangeArrowheads="1" noChangeAspect="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Figure 3: Compexity over variables kept for the full version of the model</w:t>
      </w:r>
    </w:p>
    <w:bookmarkEnd w:id="29"/>
    <w:bookmarkStart w:id="39" w:name="full-analysis"/>
    <w:p>
      <w:pPr>
        <w:pStyle w:val="Heading2"/>
      </w:pPr>
      <w:r>
        <w:t xml:space="preserve">4.2 Full analysis</w:t>
      </w:r>
    </w:p>
    <w:p>
      <w:pPr>
        <w:pStyle w:val="FirstParagraph"/>
      </w:pPr>
      <w:r>
        <w:t xml:space="preserve">Two initial models were tried with all variables, a linear model and a random forest model. Linear models have been used by many papers to model for</w:t>
      </w:r>
      <w:r>
        <w:t xml:space="preserve"> </w:t>
      </w:r>
      <w:r>
        <w:rPr>
          <w:i/>
          <w:iCs/>
        </w:rPr>
        <w:t xml:space="preserve">Salmonella</w:t>
      </w:r>
      <w:r>
        <w:t xml:space="preserve"> </w:t>
      </w:r>
      <w:r>
        <w:t xml:space="preserve">prevalence in water. Both the random forest and linear regression with full predictors had similar RMSE values (Table 1), so the linear model was used for further analysis as it is easier to interpret.</w:t>
      </w:r>
    </w:p>
    <w:p>
      <w:pPr>
        <w:pStyle w:val="BodyText"/>
      </w:pPr>
      <w:r>
        <w:t xml:space="preserve">Table 1: Comparison of rmse between all three models.</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"tables"</w:t>
      </w:r>
      <w:r>
        <w:rPr>
          <w:rStyle w:val="NormalTok"/>
        </w:rPr>
        <w:t xml:space="preserve">, </w:t>
      </w:r>
      <w:r>
        <w:rPr>
          <w:rStyle w:val="StringTok"/>
        </w:rPr>
        <w:t xml:space="preserve">"table1.png"</w:t>
      </w:r>
      <w:r>
        <w:rPr>
          <w:rStyle w:val="NormalTok"/>
        </w:rPr>
        <w:t xml:space="preserve">))</w:t>
      </w:r>
    </w:p>
    <w:p>
      <w:pPr>
        <w:pStyle w:val="FirstParagraph"/>
      </w:pPr>
      <w:r>
        <w:drawing>
          <wp:inline>
            <wp:extent cx="5334000" cy="1876340"/>
            <wp:effectExtent b="0" l="0" r="0" t="0"/>
            <wp:docPr descr="" title="" id="31" name="Picture"/>
            <a:graphic>
              <a:graphicData uri="http://schemas.openxmlformats.org/drawingml/2006/picture">
                <pic:pic>
                  <pic:nvPicPr>
                    <pic:cNvPr descr="../../results/tables/table1.png" id="32" name="Picture"/>
                    <pic:cNvPicPr>
                      <a:picLocks noChangeArrowheads="1" noChangeAspect="1"/>
                    </pic:cNvPicPr>
                  </pic:nvPicPr>
                  <pic:blipFill>
                    <a:blip r:embed="rId30"/>
                    <a:stretch>
                      <a:fillRect/>
                    </a:stretch>
                  </pic:blipFill>
                  <pic:spPr bwMode="auto">
                    <a:xfrm>
                      <a:off x="0" y="0"/>
                      <a:ext cx="5334000" cy="1876340"/>
                    </a:xfrm>
                    <a:prstGeom prst="rect">
                      <a:avLst/>
                    </a:prstGeom>
                    <a:noFill/>
                    <a:ln w="9525">
                      <a:noFill/>
                      <a:headEnd/>
                      <a:tailEnd/>
                    </a:ln>
                  </pic:spPr>
                </pic:pic>
              </a:graphicData>
            </a:graphic>
          </wp:inline>
        </w:drawing>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"figures"</w:t>
      </w:r>
      <w:r>
        <w:rPr>
          <w:rStyle w:val="NormalTok"/>
        </w:rPr>
        <w:t xml:space="preserve">, </w:t>
      </w:r>
      <w:r>
        <w:rPr>
          <w:rStyle w:val="StringTok"/>
        </w:rPr>
        <w:t xml:space="preserve">"PredictedPlots.jpeg"</w:t>
      </w:r>
      <w:r>
        <w:rPr>
          <w:rStyle w:val="NormalTok"/>
        </w:rPr>
        <w:t xml:space="preserve">))</w:t>
      </w:r>
    </w:p>
    <w:p>
      <w:pPr>
        <w:pStyle w:val="FirstParagraph"/>
      </w:pPr>
      <w:r>
        <w:drawing>
          <wp:inline>
            <wp:extent cx="5334000" cy="3556000"/>
            <wp:effectExtent b="0" l="0" r="0" t="0"/>
            <wp:docPr descr="" title="" id="34" name="Picture"/>
            <a:graphic>
              <a:graphicData uri="http://schemas.openxmlformats.org/drawingml/2006/picture">
                <pic:pic>
                  <pic:nvPicPr>
                    <pic:cNvPr descr="../../results/figures/PredictedPlots.jpe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Figure 4: Comparison of predicted vs. actual complexity from all three models on the train (A.) Random Forest, (B.) Full Linear Regression, (C.) Final Linear Regression, and test (D.) Random Forest, (E.) Full Linear Regression, (F.) Final Linear Regression, data</w:t>
      </w:r>
    </w:p>
    <w:p>
      <w:pPr>
        <w:pStyle w:val="BodyText"/>
      </w:pPr>
      <w:r>
        <w:t xml:space="preserve">There are four variables left after subset selection in the final linear regression model, pH, wind speed, rain, and turbidity (Table 2). Turbidity and pH have a positive impact on complexity, while rainfall and wind speed have negative impacts. Rain and pH have the largest impacts, while turbidity and wind speed have more modest impacts.</w:t>
      </w:r>
    </w:p>
    <w:p>
      <w:pPr>
        <w:pStyle w:val="BodyText"/>
      </w:pPr>
      <w:r>
        <w:t xml:space="preserve">Table 2: Final predictor values of subset selection LR model</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"tables"</w:t>
      </w:r>
      <w:r>
        <w:rPr>
          <w:rStyle w:val="NormalTok"/>
        </w:rPr>
        <w:t xml:space="preserve">, </w:t>
      </w:r>
      <w:r>
        <w:rPr>
          <w:rStyle w:val="StringTok"/>
        </w:rPr>
        <w:t xml:space="preserve">"table2.png"</w:t>
      </w:r>
      <w:r>
        <w:rPr>
          <w:rStyle w:val="NormalTok"/>
        </w:rPr>
        <w:t xml:space="preserve">))</w:t>
      </w:r>
    </w:p>
    <w:p>
      <w:pPr>
        <w:pStyle w:val="FirstParagraph"/>
      </w:pPr>
      <w:r>
        <w:drawing>
          <wp:inline>
            <wp:extent cx="5334000" cy="3307361"/>
            <wp:effectExtent b="0" l="0" r="0" t="0"/>
            <wp:docPr descr="" title="" id="37" name="Picture"/>
            <a:graphic>
              <a:graphicData uri="http://schemas.openxmlformats.org/drawingml/2006/picture">
                <pic:pic>
                  <pic:nvPicPr>
                    <pic:cNvPr descr="../../results/tables/table2.png" id="38" name="Picture"/>
                    <pic:cNvPicPr>
                      <a:picLocks noChangeArrowheads="1" noChangeAspect="1"/>
                    </pic:cNvPicPr>
                  </pic:nvPicPr>
                  <pic:blipFill>
                    <a:blip r:embed="rId36"/>
                    <a:stretch>
                      <a:fillRect/>
                    </a:stretch>
                  </pic:blipFill>
                  <pic:spPr bwMode="auto">
                    <a:xfrm>
                      <a:off x="0" y="0"/>
                      <a:ext cx="5334000" cy="3307361"/>
                    </a:xfrm>
                    <a:prstGeom prst="rect">
                      <a:avLst/>
                    </a:prstGeom>
                    <a:noFill/>
                    <a:ln w="9525">
                      <a:noFill/>
                      <a:headEnd/>
                      <a:tailEnd/>
                    </a:ln>
                  </pic:spPr>
                </pic:pic>
              </a:graphicData>
            </a:graphic>
          </wp:inline>
        </w:drawing>
      </w:r>
    </w:p>
    <w:bookmarkEnd w:id="39"/>
    <w:bookmarkEnd w:id="40"/>
    <w:bookmarkStart w:id="44" w:name="discussion"/>
    <w:p>
      <w:pPr>
        <w:pStyle w:val="Heading1"/>
      </w:pPr>
      <w:r>
        <w:t xml:space="preserve">5. Discussion</w:t>
      </w:r>
    </w:p>
    <w:p>
      <w:pPr>
        <w:pStyle w:val="FirstParagraph"/>
      </w:pPr>
      <w:r>
        <w:t xml:space="preserve">This is the first study to investigate daily changes</w:t>
      </w:r>
      <w:r>
        <w:t xml:space="preserve"> </w:t>
      </w:r>
      <w:r>
        <w:rPr>
          <w:i/>
          <w:iCs/>
        </w:rPr>
        <w:t xml:space="preserve">Salmonella</w:t>
      </w:r>
      <w:r>
        <w:t xml:space="preserve"> </w:t>
      </w:r>
      <w:r>
        <w:t xml:space="preserve">populations in water over a significant period. It reveals dynamic</w:t>
      </w:r>
      <w:r>
        <w:t xml:space="preserve"> </w:t>
      </w:r>
      <w:r>
        <w:rPr>
          <w:i/>
          <w:iCs/>
        </w:rPr>
        <w:t xml:space="preserve">Salmonella</w:t>
      </w:r>
      <w:r>
        <w:t xml:space="preserve"> </w:t>
      </w:r>
      <w:r>
        <w:t xml:space="preserve">populations consisting of environmentally endemic serovars interrupted by sporadic occurrences of other, transient serovars. This study shows rapid temporal changes in</w:t>
      </w:r>
      <w:r>
        <w:t xml:space="preserve"> </w:t>
      </w:r>
      <w:r>
        <w:rPr>
          <w:i/>
          <w:iCs/>
        </w:rPr>
        <w:t xml:space="preserve">Salmonella</w:t>
      </w:r>
      <w:r>
        <w:t xml:space="preserve"> </w:t>
      </w:r>
      <w:r>
        <w:t xml:space="preserve">populations in a suburban creek. While this is not an agricultural watershed and this water is not used for irrigation, the findings from this project indicate that food safety risks posed by surface water contaminated with</w:t>
      </w:r>
      <w:r>
        <w:t xml:space="preserve"> </w:t>
      </w:r>
      <w:r>
        <w:rPr>
          <w:i/>
          <w:iCs/>
        </w:rPr>
        <w:t xml:space="preserve">Salmonella</w:t>
      </w:r>
      <w:r>
        <w:t xml:space="preserve"> </w:t>
      </w:r>
      <w:r>
        <w:t xml:space="preserve">can also change rapidly. A sample taken on a certain day may not accurately represent the microbial risk of the surface water by the time the culture or other detection is completed and confirmed. As such, a good model for determining</w:t>
      </w:r>
      <w:r>
        <w:t xml:space="preserve"> </w:t>
      </w:r>
      <w:r>
        <w:rPr>
          <w:i/>
          <w:iCs/>
        </w:rPr>
        <w:t xml:space="preserve">Salmonella</w:t>
      </w:r>
      <w:r>
        <w:t xml:space="preserve"> </w:t>
      </w:r>
      <w:r>
        <w:t xml:space="preserve">risk is necessary.</w:t>
      </w:r>
    </w:p>
    <w:bookmarkStart w:id="41" w:name="summary-and-interpretation"/>
    <w:p>
      <w:pPr>
        <w:pStyle w:val="Heading2"/>
      </w:pPr>
      <w:r>
        <w:t xml:space="preserve">5.1 Summary and Interpretation</w:t>
      </w:r>
    </w:p>
    <w:p>
      <w:pPr>
        <w:pStyle w:val="FirstParagraph"/>
      </w:pPr>
      <w:r>
        <w:t xml:space="preserve">The final linear model with subset selection yielded four variables, pH, wind speed, rain, and turbidity. Rain has long been hypothesized to be correlated with increased</w:t>
      </w:r>
      <w:r>
        <w:t xml:space="preserve"> </w:t>
      </w:r>
      <w:r>
        <w:rPr>
          <w:i/>
          <w:iCs/>
        </w:rPr>
        <w:t xml:space="preserve">Salmonella</w:t>
      </w:r>
      <w:r>
        <w:t xml:space="preserve"> </w:t>
      </w:r>
      <w:r>
        <w:t xml:space="preserve">prevalence, since runoff could potentially introduce</w:t>
      </w:r>
      <w:r>
        <w:t xml:space="preserve"> </w:t>
      </w:r>
      <w:r>
        <w:rPr>
          <w:i/>
          <w:iCs/>
        </w:rPr>
        <w:t xml:space="preserve">Salmonella</w:t>
      </w:r>
      <w:r>
        <w:t xml:space="preserve"> </w:t>
      </w:r>
      <w:r>
        <w:t xml:space="preserve">into a body of water. However the evidence supporting this theory has been contradictory. Some studies have found that precipitaion has increased</w:t>
      </w:r>
      <w:r>
        <w:t xml:space="preserve"> </w:t>
      </w:r>
      <w:r>
        <w:rPr>
          <w:i/>
          <w:iCs/>
        </w:rPr>
        <w:t xml:space="preserve">Salmonella</w:t>
      </w:r>
      <w:r>
        <w:t xml:space="preserve"> </w:t>
      </w:r>
      <w:r>
        <w:t xml:space="preserve">prevalence (Deaven et al., 2021; Murphy et al., 2024; Strawn et al., 2013; Weller et al., 2020), while others have not found it to be impactful (Goyal et al., 1977; McEgan et al., 2013; Santiago-Rodriguez et al., 2012). The final linear model found a negative association with rainfall, which is unusual. This could be due to the fact that there were many days with little or no rainfall and complexity tended to vary greatly even on days of no rainfall. It should also be noted that the model only looks at rainfall day of, and samples were often taken in the middle of the day. As such, for future analysis it may be better to include the previous days weather as a predictor, or perhaps a combined rainfall variable.</w:t>
      </w:r>
    </w:p>
    <w:p>
      <w:pPr>
        <w:pStyle w:val="BodyText"/>
      </w:pPr>
      <w:r>
        <w:t xml:space="preserve">It is interesting that pH has a large effect on complexity, although it should be noted that pH is measured on a log scale, so large shifts in pH are not as common. Low pH can inhibit the growth of microorganisms, so it is easy to see why it may lead to lower</w:t>
      </w:r>
      <w:r>
        <w:t xml:space="preserve"> </w:t>
      </w:r>
      <w:r>
        <w:rPr>
          <w:i/>
          <w:iCs/>
        </w:rPr>
        <w:t xml:space="preserve">Salmonella</w:t>
      </w:r>
      <w:r>
        <w:t xml:space="preserve"> </w:t>
      </w:r>
      <w:r>
        <w:t xml:space="preserve">complexity. Turbidity is the measure of suspended particles in water, and can increase with precipitation or disturbances to the surrounding land. Events that increase turbidity could also potentially introduce</w:t>
      </w:r>
      <w:r>
        <w:t xml:space="preserve"> </w:t>
      </w:r>
      <w:r>
        <w:rPr>
          <w:i/>
          <w:iCs/>
        </w:rPr>
        <w:t xml:space="preserve">Salmonella</w:t>
      </w:r>
      <w:r>
        <w:t xml:space="preserve"> </w:t>
      </w:r>
      <w:r>
        <w:t xml:space="preserve">into the creek. Wind speed was predicted to have a slight negative effect on</w:t>
      </w:r>
      <w:r>
        <w:t xml:space="preserve"> </w:t>
      </w:r>
      <w:r>
        <w:rPr>
          <w:i/>
          <w:iCs/>
        </w:rPr>
        <w:t xml:space="preserve">Salmonella</w:t>
      </w:r>
      <w:r>
        <w:t xml:space="preserve"> </w:t>
      </w:r>
      <w:r>
        <w:t xml:space="preserve">complexity. This is interesting as</w:t>
      </w:r>
      <w:r>
        <w:t xml:space="preserve"> </w:t>
      </w:r>
      <w:r>
        <w:rPr>
          <w:i/>
          <w:iCs/>
        </w:rPr>
        <w:t xml:space="preserve">Salmonella</w:t>
      </w:r>
      <w:r>
        <w:t xml:space="preserve"> </w:t>
      </w:r>
      <w:r>
        <w:t xml:space="preserve">can be aersolized and travel on dust, (FDA, 2024), so this indicates that in this creek, dust blown on the wind may not be a major method through which</w:t>
      </w:r>
      <w:r>
        <w:t xml:space="preserve"> </w:t>
      </w:r>
      <w:r>
        <w:rPr>
          <w:i/>
          <w:iCs/>
        </w:rPr>
        <w:t xml:space="preserve">Salmonella</w:t>
      </w:r>
      <w:r>
        <w:t xml:space="preserve"> </w:t>
      </w:r>
      <w:r>
        <w:t xml:space="preserve">enters the creek.</w:t>
      </w:r>
    </w:p>
    <w:bookmarkEnd w:id="41"/>
    <w:bookmarkStart w:id="42" w:name="strengths-and-limitations"/>
    <w:p>
      <w:pPr>
        <w:pStyle w:val="Heading2"/>
      </w:pPr>
      <w:r>
        <w:t xml:space="preserve">5.2 Strengths and Limitations</w:t>
      </w:r>
    </w:p>
    <w:p>
      <w:pPr>
        <w:pStyle w:val="FirstParagraph"/>
      </w:pPr>
      <w:r>
        <w:t xml:space="preserve">There have been many attempts to model for</w:t>
      </w:r>
      <w:r>
        <w:t xml:space="preserve"> </w:t>
      </w:r>
      <w:r>
        <w:rPr>
          <w:i/>
          <w:iCs/>
        </w:rPr>
        <w:t xml:space="preserve">Salmonella</w:t>
      </w:r>
      <w:r>
        <w:t xml:space="preserve"> </w:t>
      </w:r>
      <w:r>
        <w:t xml:space="preserve">prevalence in water. This study is unique in that modeling was done on population complexity rather than prevalence, which is not something many other projects are able to do.</w:t>
      </w:r>
    </w:p>
    <w:p>
      <w:pPr>
        <w:pStyle w:val="BodyText"/>
      </w:pPr>
      <w:r>
        <w:t xml:space="preserve">The amount of data is a limitation in this study, many datasets used in this class contain thousands of datapoints, while this study has far fewer. This lends less statistical power to this study. This dataset also only includes measureable weather and enivornmental variables. However,</w:t>
      </w:r>
      <w:r>
        <w:t xml:space="preserve"> </w:t>
      </w:r>
      <w:r>
        <w:rPr>
          <w:i/>
          <w:iCs/>
        </w:rPr>
        <w:t xml:space="preserve">Salmonella</w:t>
      </w:r>
      <w:r>
        <w:t xml:space="preserve"> </w:t>
      </w:r>
      <w:r>
        <w:t xml:space="preserve">is an enteric pathogen that has been shown to be carried by wildlife and other reserviors. This dataset does not include any information on the movement of such hosts and therefore the predictor variables may not be sufficient to capture the effect of wildlife activity on</w:t>
      </w:r>
      <w:r>
        <w:t xml:space="preserve"> </w:t>
      </w:r>
      <w:r>
        <w:rPr>
          <w:i/>
          <w:iCs/>
        </w:rPr>
        <w:t xml:space="preserve">Salmonella</w:t>
      </w:r>
      <w:r>
        <w:t xml:space="preserve">.</w:t>
      </w:r>
    </w:p>
    <w:bookmarkEnd w:id="42"/>
    <w:bookmarkStart w:id="43" w:name="conclusions"/>
    <w:p>
      <w:pPr>
        <w:pStyle w:val="Heading2"/>
      </w:pPr>
      <w:r>
        <w:t xml:space="preserve">5.3 Conclusions</w:t>
      </w:r>
    </w:p>
    <w:p>
      <w:pPr>
        <w:pStyle w:val="FirstParagraph"/>
      </w:pPr>
      <w:r>
        <w:rPr>
          <w:i/>
          <w:iCs/>
        </w:rPr>
        <w:t xml:space="preserve">Salmonella</w:t>
      </w:r>
      <w:r>
        <w:t xml:space="preserve"> </w:t>
      </w:r>
      <w:r>
        <w:t xml:space="preserve">populations in surface water are complex and dynamic, changing frequently. Modeling for complexity can be a valid alternative to modeling for prevalence in surface water systems, especially when prevalence is high. Rainfall, turbidity, pH, and wind speed may have an impact on the complexity of these populations.</w:t>
      </w:r>
    </w:p>
    <w:bookmarkEnd w:id="43"/>
    <w:bookmarkEnd w:id="44"/>
    <w:bookmarkStart w:id="45" w:name="references"/>
    <w:p>
      <w:pPr>
        <w:pStyle w:val="Heading1"/>
      </w:pPr>
      <w:r>
        <w:t xml:space="preserve">6. References</w:t>
      </w:r>
    </w:p>
    <w:p>
      <w:pPr>
        <w:pStyle w:val="FirstParagraph"/>
      </w:pPr>
      <w:r>
        <w:t xml:space="preserve">Deaven, A. M., Ferreira, C. M., Reed, E. A., Chen See, J. R., Lee, N. A., Almaraz, E., Rios, P. C., Marogi, J. G., Lamendella, R., Zheng, J., Bell, R. L., &amp; Shariat, N. W. (2021). Salmonella Genomics and Population Analyses Reveal High Inter- and Intraserovar Diversity in Freshwater. Applied and Environmental Microbiology, 87(6), e02594-20. https://doi.org/10.1128/AEM.02594-20</w:t>
      </w:r>
    </w:p>
    <w:p>
      <w:pPr>
        <w:pStyle w:val="BodyText"/>
      </w:pPr>
      <w:r>
        <w:t xml:space="preserve">Dieter, C. A., Maupin, M. A., Caldwell, R. R., Harris, M. A., Ivahnenko, T. I., Lovelace, J. K., Barber, N. L., &amp; Linsey, K. S. (2018). Estimated use of water in the United States in 2015. In Circular (No. 1441). U.S. Geological Survey. https://doi.org/10.3133/cir1441</w:t>
      </w:r>
    </w:p>
    <w:p>
      <w:pPr>
        <w:pStyle w:val="BodyText"/>
      </w:pPr>
      <w:r>
        <w:t xml:space="preserve">FDA. (2025). Outbreak Investigation of Salmonella: Cucumbers (June 2024). FDA. https://www.fda.gov/food/outbreaks-foodborne-illness/outbreak-investigation-salmonella-cucumbers-june-2024</w:t>
      </w:r>
    </w:p>
    <w:p>
      <w:pPr>
        <w:pStyle w:val="BodyText"/>
      </w:pPr>
      <w:r>
        <w:t xml:space="preserve">FDA. (2024a). Factors Potentially Contributing to the Contamination of Peaches Implicated in the Summer 2020 Outbreak of Salmonella Enteritidis. FDA. https://www.fda.gov/food/outbreaks-foodborne-illness/factors-potentially-contributing-contamination-peaches-implicated-summer-2020-outbreak-salmonella</w:t>
      </w:r>
    </w:p>
    <w:p>
      <w:pPr>
        <w:pStyle w:val="BodyText"/>
      </w:pPr>
      <w:r>
        <w:t xml:space="preserve">FDA, H. F. (2024b). Factors Potentially Contributing to the Contamination of Red Onions Implicated in the Summer 2020 Outbreak of Salmonella Newport. FDA. https://www.fda.gov/food/outbreaks-foodborne-illness/factors-potentially-contributing-contamination-red-onions-implicated-summer-2020-outbreak-salmonella</w:t>
      </w:r>
    </w:p>
    <w:p>
      <w:pPr>
        <w:pStyle w:val="BodyText"/>
      </w:pPr>
      <w:r>
        <w:t xml:space="preserve">Gorski, L., Parker, C. T., Liang, A., Cooley, M. B., Jay-Russell, M. T., Gordus, A. G., Atwill, E. R., &amp; Mandrell, R. E. (2011). Prevalence, distribution, and diversity of Salmonella enterica in a major produce region of California. Applied and Environmental Microbiology, 77(8), 2734–2748. https://doi.org/10.1128/AEM.02321-10</w:t>
      </w:r>
    </w:p>
    <w:p>
      <w:pPr>
        <w:pStyle w:val="BodyText"/>
      </w:pPr>
      <w:r>
        <w:t xml:space="preserve">Goyal, S. M., Gerba, C. P., &amp; Melnick, J. L. (1977). Occurrence and distribution of bacterial indicators and pathogens in canal communities along the Texas coast. Applied and Environmental Microbiology, 34(2), 139–149. https://doi.org/10.1128/aem.34.2.139-149.1977</w:t>
      </w:r>
    </w:p>
    <w:p>
      <w:pPr>
        <w:pStyle w:val="BodyText"/>
      </w:pPr>
      <w:r>
        <w:t xml:space="preserve">Greene, S. K., Daly, E. R., Talbot, E. A., Demma, L. J., Holzbauer, S., Patel, N. J., Hill, T. A., Walderhaug, M. O., Hoekstra, R. M., Lynch, M. F., &amp; Painter, J. A. (2008). Recurrent multistate outbreak of Salmonella Newport associated with tomatoes from contaminated fields, 2005. Epidemiology and Infection, 136(2), 157–165. https://doi.org/10.1017/S095026880700859X</w:t>
      </w:r>
    </w:p>
    <w:p>
      <w:pPr>
        <w:pStyle w:val="BodyText"/>
      </w:pPr>
      <w:r>
        <w:t xml:space="preserve">Grimont, P. A. D. (n.d.). Antigenic Formulae of the Salmonella Serovars. Institut Pasteur. Retrieved https://www.pasteur.fr/sites/default/files/veng_0.pdf</w:t>
      </w:r>
    </w:p>
    <w:p>
      <w:pPr>
        <w:pStyle w:val="BodyText"/>
      </w:pPr>
      <w:r>
        <w:t xml:space="preserve">Havelaar, A. H., Vazquez, K. M., Topalcengiz, Z., Muñoz-Carpena, R., &amp; Danyluk, M. D. (2017). Evaluating the U.S. Food Safety Modernization Act Produce Safety Rule Standard for Microbial Quality of Agricultural Water for Growing Produce. Journal of Food Protection, 80(11), 1832–1841. https://doi.org/10.4315/0362-028X.JFP-17-122</w:t>
      </w:r>
    </w:p>
    <w:p>
      <w:pPr>
        <w:pStyle w:val="BodyText"/>
      </w:pPr>
      <w:r>
        <w:t xml:space="preserve">Li, B., Jackson, S. A., Gangiredla, J., Wang, W., Liu, H., Tall, B. D., Beaubrun, J. J.-G., Jay-Russell, M., Vellidis, G., &amp; Elkins, C. A. (2015). Genomic Evidence Reveals Numerous Salmonella enterica Serovar Newport Reintroduction Events in Suwannee Watershed Irrigation Ponds. Applied and Environmental Microbiology, 81(24), 8243–8253. https://doi.org/10.1128/AEM.02179-15</w:t>
      </w:r>
    </w:p>
    <w:p>
      <w:pPr>
        <w:pStyle w:val="BodyText"/>
      </w:pPr>
      <w:r>
        <w:t xml:space="preserve">Love, M. I., Huber, W., &amp; Anders, S. (2014). Moderated estimation of fold change and dispersion for RNA-seq data with DESeq2. Genome Biology, 15(12), 550. https://doi.org/10.1186/s13059-014-0550-8</w:t>
      </w:r>
    </w:p>
    <w:p>
      <w:pPr>
        <w:pStyle w:val="BodyText"/>
      </w:pPr>
      <w:r>
        <w:t xml:space="preserve">Maurer, J. J., Martin, G., Hernandez, S., Cheng, Y., Gerner-Smidt, P., Hise, K. B., D’Angelo, M. T., Cole, D., Sanchez, S., Madden, M., Valeika, S., Presotto, A., &amp; Lipp, E. K. (2015). Diversity and Persistence of Salmonella enterica Strains in Rural Landscapes in the Southeastern United States. PLOS ONE, 10(7), e0128937. https://doi.org/10.1371/journal.pone.0128937</w:t>
      </w:r>
    </w:p>
    <w:p>
      <w:pPr>
        <w:pStyle w:val="BodyText"/>
      </w:pPr>
      <w:r>
        <w:t xml:space="preserve">McEgan, R., Mootian, G., Goodridge, L. D., Schaffner, D. W., &amp; Danyluk, M. D. (2013). Predicting Salmonella populations from biological, chemical, and physical indicators in Florida surface waters. Applied and Environmental Microbiology, 79(13), 4094–4105. https://doi.org/10.1128/AEM.00777-13</w:t>
      </w:r>
    </w:p>
    <w:p>
      <w:pPr>
        <w:pStyle w:val="BodyText"/>
      </w:pPr>
      <w:r>
        <w:t xml:space="preserve">Murphy, C. M., Weller, D. L., &amp; Strawn, L. K. (2024). Scale and detection method impacted Salmonella prevalence and diversity in ponds. Science of The Total Environment, 907, 167812. https://doi.org/10.1016/j.scitotenv.2023.167812</w:t>
      </w:r>
    </w:p>
    <w:p>
      <w:pPr>
        <w:pStyle w:val="BodyText"/>
      </w:pPr>
      <w:r>
        <w:t xml:space="preserve">Pal, A., Jackson, A. P., Urrutia, A., Macklin, K. S., Price, S. B., Buhr, R. J., &amp; Bourassa, D. V. (2022). Research Note: Bacterial composition of settled dust during growout of broiler chickens. Poultry Science, 101(2), 101602. https://doi.org/10.1016/j.psj.2021.101602</w:t>
      </w:r>
    </w:p>
    <w:p>
      <w:pPr>
        <w:pStyle w:val="BodyText"/>
      </w:pPr>
      <w:r>
        <w:t xml:space="preserve">Santiago-Rodriguez, T. M., Tremblay, R. L., Toledo-Hernandez, C., Gonzalez-Nieves, J. E., Ryu, H., Santo Domingo, J. W., &amp; Toranzos, G. A. (2012). Microbial quality of tropical inland waters and effects of rainfall events. Applied and Environmental Microbiology, 78(15), 5160–5169. https://doi.org/10.1128/AEM.07773-11</w:t>
      </w:r>
    </w:p>
    <w:p>
      <w:pPr>
        <w:pStyle w:val="BodyText"/>
      </w:pPr>
      <w:r>
        <w:t xml:space="preserve">Smith, J. C., Siceloff, A. T., Shirazi, S. M., Bell, R. L., &amp; Shariat, N. W. (2025). A two-year study of Salmonella in four natural watersheds highlights the need for increased environmental Salmonella surveillance to close the One Health loop. Applied and Environmental Microbiology, 91(12), e01770-25. https://doi.org/10.1128/aem.01770-25</w:t>
      </w:r>
    </w:p>
    <w:p>
      <w:pPr>
        <w:pStyle w:val="BodyText"/>
      </w:pPr>
      <w:r>
        <w:t xml:space="preserve">Strawn, L. K., Gröhn, Y. T., Warchocki, S., Worobo, R. W., Bihn, E. A., &amp; Wiedmann, M. (2013). Risk factors associated with Salmonella and Listeria monocytogenes contamination of produce fields. Applied and Environmental Microbiology, 79(24), 7618–7627. https://doi.org/10.1128/AEM.02831-13</w:t>
      </w:r>
    </w:p>
    <w:p>
      <w:pPr>
        <w:pStyle w:val="BodyText"/>
      </w:pPr>
      <w:r>
        <w:t xml:space="preserve">Uzzau, S., Brown, D. J., Wallis, T., Rubino, S., Leori, G., Bernard, S., Casadesús, J., Platt, D. J., &amp; Olsen, J. E. (2000). Host adapted serotypes of Salmonella enterica. Epidemiology and Infection, 125(2), 229–255. https://doi.org/10.1017/s0950268899004379</w:t>
      </w:r>
    </w:p>
    <w:p>
      <w:pPr>
        <w:pStyle w:val="BodyText"/>
      </w:pPr>
      <w:r>
        <w:t xml:space="preserve">Weller, D., Brassill, N., Rock, C., Ivanek, R., Mudrak, E., Roof, S., Ganda, E., &amp; Wiedmann, M. (2020). Complex interactions between weather, and microbial and physicochemical water quality impact the likelihood of detecting foodborne pathogens in agricultural water. Frontiers in Microbiology, 11. https://doi.org/10.3389/fmicb.2020.00134</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jpg" /><Relationship Type="http://schemas.openxmlformats.org/officeDocument/2006/relationships/image" Id="rId33" Target="media/rId33.jpg" /><Relationship Type="http://schemas.openxmlformats.org/officeDocument/2006/relationships/image" Id="rId23" Target="media/rId23.jpg" /><Relationship Type="http://schemas.openxmlformats.org/officeDocument/2006/relationships/image" Id="rId20" Target="media/rId20.jp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hyperlink" Id="rId10" Target="https://quarto.org/" TargetMode="External" /><Relationship Type="http://schemas.openxmlformats.org/officeDocument/2006/relationships/hyperlink" Id="rId9" Target="https://quarto.org/docs/output-formats/ms-word.html" TargetMode="External" /></Relationships>
</file>

<file path=word/_rels/footnotes.xml.rels><?xml version="1.0" encoding="UTF-8"?><Relationships xmlns="http://schemas.openxmlformats.org/package/2006/relationships"><Relationship Type="http://schemas.openxmlformats.org/officeDocument/2006/relationships/hyperlink" Id="rId10" Target="https://quarto.org/" TargetMode="External" /><Relationship Type="http://schemas.openxmlformats.org/officeDocument/2006/relationships/hyperlink" Id="rId9" Target="https://quarto.org/docs/output-formats/ms-wo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daily changes in a population of Salmonella in an urban creek</dc:title>
  <dc:creator/>
  <cp:keywords/>
  <dcterms:created xsi:type="dcterms:W3CDTF">2026-05-07T05:09:46Z</dcterms:created>
  <dcterms:modified xsi:type="dcterms:W3CDTF">2026-05-07T05:09:46Z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