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rbel" w:cs="Corbel" w:eastAsia="Corbel" w:hAnsi="Corbel"/>
          <w:b w:val="1"/>
          <w:sz w:val="28"/>
          <w:szCs w:val="28"/>
        </w:rPr>
      </w:pPr>
      <w:r w:rsidDel="00000000" w:rsidR="00000000" w:rsidRPr="00000000">
        <w:rPr>
          <w:rFonts w:ascii="Corbel" w:cs="Corbel" w:eastAsia="Corbel" w:hAnsi="Corbel"/>
          <w:b w:val="1"/>
          <w:sz w:val="28"/>
          <w:szCs w:val="28"/>
          <w:rtl w:val="0"/>
        </w:rPr>
        <w:t xml:space="preserve">ELIXIR Train the Trainer </w:t>
      </w:r>
    </w:p>
    <w:p w:rsidR="00000000" w:rsidDel="00000000" w:rsidP="00000000" w:rsidRDefault="00000000" w:rsidRPr="00000000" w14:paraId="00000002">
      <w:pPr>
        <w:jc w:val="center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Paris, 10-11 February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Day 1</w:t>
      </w:r>
    </w:p>
    <w:p w:rsidR="00000000" w:rsidDel="00000000" w:rsidP="00000000" w:rsidRDefault="00000000" w:rsidRPr="00000000" w14:paraId="00000007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9:00 </w:t>
        <w:tab/>
        <w:t xml:space="preserve">Introductions &amp; ELIXIR</w:t>
      </w:r>
    </w:p>
    <w:p w:rsidR="00000000" w:rsidDel="00000000" w:rsidP="00000000" w:rsidRDefault="00000000" w:rsidRPr="00000000" w14:paraId="00000008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9:30</w:t>
        <w:tab/>
        <w:t xml:space="preserve">Morning session: Review of learning principles and how they apply to training and teaching</w:t>
      </w:r>
    </w:p>
    <w:p w:rsidR="00000000" w:rsidDel="00000000" w:rsidP="00000000" w:rsidRDefault="00000000" w:rsidRPr="00000000" w14:paraId="00000009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12:30 </w:t>
        <w:tab/>
        <w:t xml:space="preserve">Lunch break</w:t>
      </w:r>
    </w:p>
    <w:p w:rsidR="00000000" w:rsidDel="00000000" w:rsidP="00000000" w:rsidRDefault="00000000" w:rsidRPr="00000000" w14:paraId="0000000A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14:00 </w:t>
        <w:tab/>
        <w:t xml:space="preserve">Afternoon session: Training techniques to enhance learner engagement and participation</w:t>
      </w:r>
    </w:p>
    <w:p w:rsidR="00000000" w:rsidDel="00000000" w:rsidP="00000000" w:rsidRDefault="00000000" w:rsidRPr="00000000" w14:paraId="0000000B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17:45 </w:t>
        <w:tab/>
        <w:t xml:space="preserve">Wrap up of the day</w:t>
      </w:r>
    </w:p>
    <w:p w:rsidR="00000000" w:rsidDel="00000000" w:rsidP="00000000" w:rsidRDefault="00000000" w:rsidRPr="00000000" w14:paraId="0000000C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18:00</w:t>
        <w:tab/>
        <w:t xml:space="preserve">End of day</w:t>
      </w:r>
    </w:p>
    <w:p w:rsidR="00000000" w:rsidDel="00000000" w:rsidP="00000000" w:rsidRDefault="00000000" w:rsidRPr="00000000" w14:paraId="0000000D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Day 2</w:t>
      </w:r>
    </w:p>
    <w:p w:rsidR="00000000" w:rsidDel="00000000" w:rsidP="00000000" w:rsidRDefault="00000000" w:rsidRPr="00000000" w14:paraId="0000000F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9:00 </w:t>
        <w:tab/>
        <w:t xml:space="preserve">Morning session: Session, course, and materials design</w:t>
      </w:r>
    </w:p>
    <w:p w:rsidR="00000000" w:rsidDel="00000000" w:rsidP="00000000" w:rsidRDefault="00000000" w:rsidRPr="00000000" w14:paraId="00000010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12:30 </w:t>
        <w:tab/>
        <w:t xml:space="preserve">Lunch break</w:t>
      </w:r>
    </w:p>
    <w:p w:rsidR="00000000" w:rsidDel="00000000" w:rsidP="00000000" w:rsidRDefault="00000000" w:rsidRPr="00000000" w14:paraId="00000011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13:30 </w:t>
        <w:tab/>
        <w:t xml:space="preserve">Afternoon session: Assessment and feedback in training</w:t>
      </w:r>
    </w:p>
    <w:p w:rsidR="00000000" w:rsidDel="00000000" w:rsidP="00000000" w:rsidRDefault="00000000" w:rsidRPr="00000000" w14:paraId="00000012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15:45 </w:t>
        <w:tab/>
        <w:t xml:space="preserve">Wrap up and feedback questionnaire</w:t>
      </w:r>
    </w:p>
    <w:p w:rsidR="00000000" w:rsidDel="00000000" w:rsidP="00000000" w:rsidRDefault="00000000" w:rsidRPr="00000000" w14:paraId="00000013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16:00</w:t>
        <w:tab/>
        <w:t xml:space="preserve">End of course</w:t>
      </w:r>
    </w:p>
    <w:p w:rsidR="00000000" w:rsidDel="00000000" w:rsidP="00000000" w:rsidRDefault="00000000" w:rsidRPr="00000000" w14:paraId="00000014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