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Cover"/>
      </w:pPr>
      <w:r>
        <w:t xml:space="preserve">Diagramas de Lenguaje Unificado de Modelado (UML)</w:t>
      </w:r>
    </w:p>
    <w:p>
      <w:pPr>
        <w:pStyle w:val="SubtitleCover"/>
      </w:pPr>
      <w:r>
        <w:t xml:space="preserve">Cooperativa Financiera El Progreso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2"/>
        </w:rPr>
        <w:t xml:space="preserve">Candidato: Nicholas Andres De la Rosa Rivera</w:t>
      </w:r>
    </w:p>
    <w:p>
      <w:pPr>
        <w:jc w:val="center"/>
      </w:pPr>
      <w:r>
        <w:rPr>
          <w:sz w:val="22"/>
        </w:rPr>
        <w:t xml:space="preserve">Documento: 1044630341</w:t>
      </w:r>
    </w:p>
    <w:p>
      <w:pPr>
        <w:jc w:val="center"/>
      </w:pPr>
      <w:r>
        <w:rPr>
          <w:sz w:val="22"/>
        </w:rPr>
        <w:t xml:space="preserve">Norma: 220501095 — Diseñar la solución de software</w:t>
      </w:r>
    </w:p>
    <w:p>
      <w:pPr>
        <w:jc w:val="center"/>
      </w:pPr>
      <w:r>
        <w:rPr>
          <w:sz w:val="22"/>
        </w:rPr>
        <w:t xml:space="preserve">Fecha de entrega: 7 de septiembre de 2026</w:t>
      </w:r>
    </w:p>
    <w:p>
      <w:r>
        <w:br w:type="page"/>
      </w:r>
    </w:p>
    <w:p>
      <w:r>
        <w:t xml:space="preserve">Los tres diagramas se modelaron en draw.io a partir de las clases y flujos reales implementados en el proyecto (Member, Movement, MovementType, IMemberRepository, MemberService, MovementService, ReportService, ExchangeRateService, TellerConsole). Los archivos fuente .drawio y su exportación en PDF están en las subcarpetas correspondientes de esta misma evidencia.</w:t>
      </w:r>
    </w:p>
    <w:p>
      <w:pPr>
        <w:pStyle w:val="Heading1"/>
      </w:pPr>
      <w:r>
        <w:t xml:space="preserve">1. Diagrama de casos de uso</w:t>
      </w:r>
    </w:p>
    <w:p>
      <w:r>
        <w:t xml:space="preserve">Actor principal: Cajera. Actor secundario no humano: API TRM (datos.gov.co). El Gerente consume los informes de forma indirecta, a través de la cajera.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11425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2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 — Diagrama de casos de uso</w:t>
      </w:r>
    </w:p>
    <w:p>
      <w:r>
        <w:br w:type="page"/>
      </w:r>
    </w:p>
    <w:p>
      <w:pPr>
        <w:pStyle w:val="Heading1"/>
      </w:pPr>
      <w:r>
        <w:t xml:space="preserve">2. Diagrama de clases</w:t>
      </w:r>
    </w:p>
    <w:p>
      <w:r>
        <w:t xml:space="preserve">Versión extendida del diagrama de clases del modelo implementado, con atributos, métodos y multiplicidades reales de cada clase.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3473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 — Diagrama de clases</w:t>
      </w:r>
    </w:p>
    <w:p>
      <w:r>
        <w:br w:type="page"/>
      </w:r>
    </w:p>
    <w:p>
      <w:pPr>
        <w:pStyle w:val="Heading1"/>
      </w:pPr>
      <w:r>
        <w:t xml:space="preserve">3. Diagrama de secuencia</w:t>
      </w:r>
    </w:p>
    <w:p>
      <w:r>
        <w:t xml:space="preserve">Se documentan los dos flujos con más lógica de negocio: registrar un retiro (comisión + rechazo por saldo insuficiente) y consultar el saldo en dólares (consumo asíncrono de la TRM con manejo de falla).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130" cy="10372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 — Diagrama de secuencia</w:t>
      </w:r>
    </w:p>
    <w:sectPr>
      <w:headerReference w:type="default" r:id="rIdHeader"/>
      <w:footerReference w:type="default" r:id="rIdFooter"/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C8C8C"/>
      </w:rPr>
    </w:pPr>
    <w:r>
      <w:rPr>
        <w:sz w:val="16"/>
        <w:color w:val="8C8C8C"/>
      </w:rPr>
      <w:t xml:space="preserve">Cooperativa Financiera El Progreso — ECCL SENA — Página </w:t>
    </w:r>
    <w:fldSimple w:instr="PAGE">
      <w:r>
        <w:rPr>
          <w:sz w:val="16"/>
        </w:rPr>
        <w:t>1</w:t>
      </w:r>
    </w:fldSimple>
    <w:r>
      <w:rPr>
        <w:sz w:val="16"/>
        <w:color w:val="8C8C8C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pStyle w:val="Normal"/>
      <w:jc w:val="right"/>
      <w:rPr>
        <w:sz w:val="16"/>
        <w:color w:val="8C8C8C"/>
      </w:rPr>
    </w:pPr>
    <w:r>
      <w:rPr>
        <w:sz w:val="16"/>
        <w:color w:val="8C8C8C"/>
      </w:rPr>
      <w:t xml:space="preserve">Norma 220501095 — Evidencia 2 — Diagramas UML</w:t>
    </w:r>
  </w:p>
</w:hdr>
</file>

<file path=word/settings.xml><?xml version="1.0" encoding="utf-8"?>
<w:settings xmlns:w="http://schemas.openxmlformats.org/wordprocessingml/2006/main">
  <w:defaultTabStop w:val="708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CO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TitleCover">
    <w:name w:val="TitleCover"/>
    <w:basedOn w:val="Normal"/>
    <w:pPr>
      <w:jc w:val="center"/>
      <w:spacing w:before="240" w:after="240"/>
    </w:pPr>
    <w:rPr>
      <w:rFonts w:ascii="Calibri Light" w:hAnsi="Calibri Light"/>
      <w:b/>
      <w:sz w:val="56"/>
      <w:color w:val="1F3B57"/>
    </w:rPr>
  </w:style>
  <w:style w:type="paragraph" w:styleId="SubtitleCover">
    <w:name w:val="SubtitleCover"/>
    <w:basedOn w:val="Normal"/>
    <w:pPr>
      <w:jc w:val="center"/>
      <w:spacing w:before="120" w:after="120"/>
    </w:pPr>
    <w:rPr>
      <w:sz w:val="28"/>
      <w:color w:val="2E6E4E"/>
    </w:rPr>
  </w:style>
  <w:style w:type="paragraph" w:styleId="Heading1">
    <w:name w:val="heading 1"/>
    <w:basedOn w:val="Normal"/>
    <w:qFormat/>
    <w:pPr>
      <w:spacing w:before="360" w:after="160"/>
      <w:keepNext/>
    </w:pPr>
    <w:rPr>
      <w:b/>
      <w:sz w:val="32"/>
      <w:color w:val="1F3B57"/>
    </w:rPr>
  </w:style>
  <w:style w:type="paragraph" w:styleId="Heading2">
    <w:name w:val="heading 2"/>
    <w:basedOn w:val="Normal"/>
    <w:qFormat/>
    <w:pPr>
      <w:spacing w:before="280" w:after="120"/>
      <w:keepNext/>
    </w:pPr>
    <w:rPr>
      <w:b/>
      <w:sz w:val="26"/>
      <w:color w:val="2E6E4E"/>
    </w:rPr>
  </w:style>
  <w:style w:type="paragraph" w:styleId="Caption">
    <w:name w:val="caption"/>
    <w:basedOn w:val="Normal"/>
    <w:pPr>
      <w:jc w:val="center"/>
      <w:spacing w:before="60" w:after="240"/>
    </w:pPr>
    <w:rPr>
      <w:i/>
      <w:sz w:val="20"/>
      <w:color w:val="595959"/>
    </w:rPr>
  </w:style>
  <w:style w:type="table" w:styleId="GridTable">
    <w:name w:val="GridTable"/>
    <w:tblPr>
      <w:tblBorders>
        <w:top w:val="single" w:sz="4" w:color="BFC7D1"/>
        <w:left w:val="single" w:sz="4" w:color="BFC7D1"/>
        <w:bottom w:val="single" w:sz="4" w:color="BFC7D1"/>
        <w:right w:val="single" w:sz="4" w:color="BFC7D1"/>
        <w:insideH w:val="single" w:sz="4" w:color="BFC7D1"/>
        <w:insideV w:val="single" w:sz="4" w:color="BFC7D1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ElProgreso Docx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Diagramas UML</dc:title>
  <dc:creator>Nicholas Andres De la Rosa Rivera</dc:creator>
  <cp:lastModifiedBy>Nicholas Andres De la Rosa Rivera</cp:lastModifiedBy>
</cp:coreProperties>
</file>