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Cover"/>
      </w:pPr>
      <w:r>
        <w:t xml:space="preserve">Prototipo de solución de software</w:t>
      </w:r>
    </w:p>
    <w:p>
      <w:pPr>
        <w:pStyle w:val="SubtitleCover"/>
      </w:pPr>
      <w:r>
        <w:t xml:space="preserve">Mockups de alta fidelidad — Cooperativa Financiera El Progreso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2"/>
        </w:rPr>
        <w:t xml:space="preserve">Candidato: Nicholas Andres De la Rosa Rivera</w:t>
      </w:r>
    </w:p>
    <w:p>
      <w:pPr>
        <w:jc w:val="center"/>
      </w:pPr>
      <w:r>
        <w:rPr>
          <w:sz w:val="22"/>
        </w:rPr>
        <w:t xml:space="preserve">Documento: 1044630341</w:t>
      </w:r>
    </w:p>
    <w:p>
      <w:pPr>
        <w:jc w:val="center"/>
      </w:pPr>
      <w:r>
        <w:rPr>
          <w:sz w:val="22"/>
        </w:rPr>
        <w:t xml:space="preserve">Norma: 220501095 — Diseñar la solución de software</w:t>
      </w:r>
    </w:p>
    <w:p>
      <w:pPr>
        <w:jc w:val="center"/>
      </w:pPr>
      <w:r>
        <w:rPr>
          <w:sz w:val="22"/>
        </w:rPr>
        <w:t xml:space="preserve">Fecha de entrega: 7 de septiembre de 2026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r>
        <w:t xml:space="preserve">El sistema entregado es una aplicación de consola de uso exclusivo de la cajera: no tiene ventanas ni botones reales. Los mockups de este documento imaginan la interfaz gráfica de alta fidelidad que expondría exactamente las mismas 12 funcionalidades y las mismas reglas de negocio que hoy corren en TellerConsole, MemberService, MovementService y ReportService, con una identidad visual propia (paleta de color, tipografía, barra lateral de navegación, tarjetas y badges de estado) en lugar de cajas grises de wireframe.</w:t>
      </w:r>
    </w:p>
    <w:p>
      <w:r>
        <w:t xml:space="preserve">Paleta de marca: azul marino #14223A (barra lateral) y verde #178A5C (acento / marca "El Progreso", asociado a finanzas y crecimiento), sobre fondo neutro #F4F6FA. Estados: verde = aprobado / con saldo, rojo #C43737 = rechazado / error, ámbar #B07A15 = advertencia (comisión aplicada). Tipografía: familia sans-serif de un solo peso variable (regular / bold), igual en todas las pantallas para mantener consistencia.</w:t>
      </w:r>
    </w:p>
    <w:p>
      <w:pPr>
        <w:pStyle w:val="Heading2"/>
      </w:pPr>
      <w:r>
        <w:t xml:space="preserve">1. Panel principal</w:t>
      </w:r>
    </w:p>
    <w:p>
      <w:r>
        <w:t xml:space="preserve">Equivalente gráfico del menú principal de TellerConsole: KPIs del día (asociados activos, saldo total, consignaciones y retiros de hoy), accesos rápidos a cada opción numerada del menú de consola, y un feed de movimientos recientes con badge de "Aprobado" / "Rechazado".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4080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1. Panel principal</w:t>
      </w:r>
    </w:p>
    <w:p>
      <w:pPr>
        <w:pStyle w:val="Heading2"/>
      </w:pPr>
      <w:r>
        <w:t xml:space="preserve">2. Gestión de asociados</w:t>
      </w:r>
    </w:p>
    <w:p>
      <w:r>
        <w:t xml:space="preserve">Corresponde a las opciones 2 (listar), 3 y 4 (buscar por documento / nombre) y 6 (eliminar) de MemberService. La tabla muestra documento, nombre, teléfono, fecha de vinculación, saldo y un badge de estado ("Con saldo" / "Sin movimientos"), reflejando la regla real: un asociado solo se puede eliminar si no tiene saldo ni movimientos.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4080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2. Gestión de asociados</w:t>
      </w:r>
    </w:p>
    <w:p>
      <w:pPr>
        <w:pStyle w:val="Heading2"/>
      </w:pPr>
      <w:r>
        <w:t xml:space="preserve">3. Formulario de asociado</w:t>
      </w:r>
    </w:p>
    <w:p>
      <w:r>
        <w:t xml:space="preserve">Alta de un asociado (opción 1). Incluye las validaciones reales de Member/MemberService: documento de 6 a 10 dígitos y único, nombre solo con letras (mínimo 3 caracteres), teléfono opcional de 7 a 15 dígitos. El estado de error mostrado ("Ya existe un asociado con el documento...") es el mensaje textual real que lanza el sistema.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40800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3. Formulario de asociado</w:t>
      </w:r>
    </w:p>
    <w:p>
      <w:pPr>
        <w:pStyle w:val="Heading2"/>
      </w:pPr>
      <w:r>
        <w:t xml:space="preserve">4. Registro de movimientos</w:t>
      </w:r>
    </w:p>
    <w:p>
      <w:r>
        <w:t xml:space="preserve">Consignación / retiro (opciones 9 y 10 de MovementService). Muestra la comisión de manejo de efectivo de $8.000 para retiros superiores a $1.000.000 y el rechazo por saldo insuficiente con el mensaje exacto que produce Member.RegisterWithdrawal, además del saldo en USD con la TRM vigente y su periodo de validez.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4080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4. Registro de movimientos</w:t>
      </w:r>
    </w:p>
    <w:p>
      <w:pPr>
        <w:pStyle w:val="Heading2"/>
      </w:pPr>
      <w:r>
        <w:t xml:space="preserve">5. Informes de gerencia</w:t>
      </w:r>
    </w:p>
    <w:p>
      <w:r>
        <w:t xml:space="preserve">Submenú de la opción 12: los 6 informes de ReportService con la pregunta de negocio real que responde cada uno (resumen general, top 5 por saldo, asociados dormidos, informe por periodo, movimientos más grandes y actividad por asociado), con una vista previa del resumen general.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4080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5. Informes de gerencia</w:t>
      </w:r>
    </w:p>
    <w:p>
      <w:pPr>
        <w:pStyle w:val="Heading1"/>
      </w:pPr>
      <w:r>
        <w:t xml:space="preserve">Navegación entre pantallas</w:t>
      </w:r>
    </w:p>
    <w:p>
      <w:r>
        <w:t xml:space="preserve">La barra lateral es fija en las 5 pantallas (Panel principal, Asociados, Movimientos, Informes de gerencia), reproduciendo la experiencia de menú cerrado y numérico de la consola: cada pantalla vuelve a mostrar la misma estructura de navegación en vez de aceptar rutas libres, igual que ConsoleReader.ReadMenuOption no deja avanzar hasta recibir un número válido.</w:t>
      </w:r>
    </w:p>
    <w:sectPr>
      <w:headerReference w:type="default" r:id="rIdHeader"/>
      <w:footerReference w:type="default" r:id="rIdFooter"/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C8C8C"/>
      </w:rPr>
    </w:pPr>
    <w:r>
      <w:rPr>
        <w:sz w:val="16"/>
        <w:color w:val="8C8C8C"/>
      </w:rPr>
      <w:t xml:space="preserve">Cooperativa Financiera El Progreso — ECCL SENA — Página </w:t>
    </w:r>
    <w:fldSimple w:instr="PAGE">
      <w:r>
        <w:rPr>
          <w:sz w:val="16"/>
        </w:rPr>
        <w:t>1</w:t>
      </w:r>
    </w:fldSimple>
    <w:r>
      <w:rPr>
        <w:sz w:val="16"/>
        <w:color w:val="8C8C8C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pStyle w:val="Normal"/>
      <w:jc w:val="right"/>
      <w:rPr>
        <w:sz w:val="16"/>
        <w:color w:val="8C8C8C"/>
      </w:rPr>
    </w:pPr>
    <w:r>
      <w:rPr>
        <w:sz w:val="16"/>
        <w:color w:val="8C8C8C"/>
      </w:rPr>
      <w:t xml:space="preserve">Norma 220501095 — Evidencia 3 — Prototipo de solución de software</w:t>
    </w:r>
  </w:p>
</w:hdr>
</file>

<file path=word/settings.xml><?xml version="1.0" encoding="utf-8"?>
<w:settings xmlns:w="http://schemas.openxmlformats.org/wordprocessingml/2006/main">
  <w:defaultTabStop w:val="708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CO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Cover">
    <w:name w:val="TitleCover"/>
    <w:basedOn w:val="Normal"/>
    <w:pPr>
      <w:jc w:val="center"/>
      <w:spacing w:before="240" w:after="240"/>
    </w:pPr>
    <w:rPr>
      <w:rFonts w:ascii="Calibri Light" w:hAnsi="Calibri Light"/>
      <w:b/>
      <w:sz w:val="56"/>
      <w:color w:val="1F3B57"/>
    </w:rPr>
  </w:style>
  <w:style w:type="paragraph" w:styleId="SubtitleCover">
    <w:name w:val="SubtitleCover"/>
    <w:basedOn w:val="Normal"/>
    <w:pPr>
      <w:jc w:val="center"/>
      <w:spacing w:before="120" w:after="120"/>
    </w:pPr>
    <w:rPr>
      <w:sz w:val="28"/>
      <w:color w:val="2E6E4E"/>
    </w:rPr>
  </w:style>
  <w:style w:type="paragraph" w:styleId="Heading1">
    <w:name w:val="heading 1"/>
    <w:basedOn w:val="Normal"/>
    <w:qFormat/>
    <w:pPr>
      <w:spacing w:before="360" w:after="160"/>
      <w:keepNext/>
    </w:pPr>
    <w:rPr>
      <w:b/>
      <w:sz w:val="32"/>
      <w:color w:val="1F3B57"/>
    </w:rPr>
  </w:style>
  <w:style w:type="paragraph" w:styleId="Heading2">
    <w:name w:val="heading 2"/>
    <w:basedOn w:val="Normal"/>
    <w:qFormat/>
    <w:pPr>
      <w:spacing w:before="280" w:after="120"/>
      <w:keepNext/>
    </w:pPr>
    <w:rPr>
      <w:b/>
      <w:sz w:val="26"/>
      <w:color w:val="2E6E4E"/>
    </w:rPr>
  </w:style>
  <w:style w:type="paragraph" w:styleId="Caption">
    <w:name w:val="caption"/>
    <w:basedOn w:val="Normal"/>
    <w:pPr>
      <w:jc w:val="center"/>
      <w:spacing w:before="60" w:after="240"/>
    </w:pPr>
    <w:rPr>
      <w:i/>
      <w:sz w:val="20"/>
      <w:color w:val="595959"/>
    </w:rPr>
  </w:style>
  <w:style w:type="table" w:styleId="GridTable">
    <w:name w:val="GridTable"/>
    <w:tblPr>
      <w:tblBorders>
        <w:top w:val="single" w:sz="4" w:color="BFC7D1"/>
        <w:left w:val="single" w:sz="4" w:color="BFC7D1"/>
        <w:bottom w:val="single" w:sz="4" w:color="BFC7D1"/>
        <w:right w:val="single" w:sz="4" w:color="BFC7D1"/>
        <w:insideH w:val="single" w:sz="4" w:color="BFC7D1"/>
        <w:insideV w:val="single" w:sz="4" w:color="BFC7D1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ElProgreso Docx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Prototipo de solución de software</dc:title>
  <dc:creator>Nicholas Andres De la Rosa Rivera</dc:creator>
  <cp:lastModifiedBy>Nicholas Andres De la Rosa Rivera</cp:lastModifiedBy>
</cp:coreProperties>
</file>