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Six-minute speaker script</w:t>
      </w:r>
    </w:p>
    <w:p>
      <w:pPr>
        <w:spacing w:after="80"/>
      </w:pPr>
      <w:r>
        <w:rPr>
          <w:sz w:val="20"/>
        </w:rPr>
        <w:t>Yangyang Xiao | COMM5030 Assessment 2</w:t>
      </w:r>
    </w:p>
    <w:p>
      <w:pPr>
        <w:spacing w:after="200"/>
      </w:pPr>
      <w:r>
        <w:rPr>
          <w:sz w:val="20"/>
        </w:rPr>
        <w:t>605 spoken words. Present slides 1–8; references and appendices are for reading. Aim for about 105–110 words per minute, with pauses at the logic model and comparison table. The timestamps are rehearsal guides; practise to the 5:30–6:30 allowance.</w:t>
      </w:r>
    </w:p>
    <w:p>
      <w:pPr>
        <w:pStyle w:val="Heading1"/>
        <w:keepNext/>
      </w:pPr>
      <w:r>
        <w:t>Slide 1 | 0:00–0:20 | Beyond Toy Counts</w:t>
      </w:r>
    </w:p>
    <w:p>
      <w:pPr>
        <w:spacing w:after="160"/>
      </w:pPr>
      <w:r>
        <w:t>Hello, I'm Yangyang Xiao. My research asks how a brief parent survey can describe families' reported changes in access to suitable play resources after a Joy of Giving visit. The contribution is a measurement framework for our impact report.</w:t>
      </w:r>
    </w:p>
    <w:p>
      <w:pPr>
        <w:pStyle w:val="Heading1"/>
        <w:keepNext/>
      </w:pPr>
      <w:r>
        <w:t>Slide 2 | 0:20–1:00 | Evidence roles and appraisal criteria</w:t>
      </w:r>
    </w:p>
    <w:p>
      <w:pPr>
        <w:spacing w:after="160"/>
      </w:pPr>
      <w:r>
        <w:t>I used a desk-based review, comparing measurement options against relevance, respondent burden, feasibility and interpretation. Toy Libraries Australia supplies sector evidence about access, cost and appropriate toys. The ONS report supports questionnaire testing, while World Bank and GDS guidance informs measurement and administration. Each source has a different role. These proposed items have not been validated in Joy of Giving, and I collected no participant data.</w:t>
      </w:r>
    </w:p>
    <w:p>
      <w:pPr>
        <w:pStyle w:val="Heading1"/>
        <w:keepNext/>
      </w:pPr>
      <w:r>
        <w:t>Slide 3 | 1:00–1:35 | Separate the outcome from its evidence</w:t>
      </w:r>
    </w:p>
    <w:p>
      <w:pPr>
        <w:spacing w:after="160"/>
      </w:pPr>
      <w:r>
        <w:t>The intended outcome is improved access to suitable play resources. Toy redistribution is the activity, and items received are outputs. Family-reported access change is evidence about the outcome, rather than the outcome itself. Satisfaction describes service experience. Keeping these separate prevents a positive service rating or a toy count from standing in for improved access.</w:t>
      </w:r>
    </w:p>
    <w:p>
      <w:pPr>
        <w:pStyle w:val="Heading1"/>
        <w:keepNext/>
      </w:pPr>
      <w:r>
        <w:t>Slide 4 | 1:35–2:35 | Evidence informs indicator selection</w:t>
      </w:r>
    </w:p>
    <w:p>
      <w:pPr>
        <w:spacing w:after="160"/>
      </w:pPr>
      <w:r>
        <w:t>Toy Libraries Australia's submission changes the proposed content. It reports wider choice and saving money as joining motives, describes uneven service access, and presents developmentally appropriate toys as a benefit. I therefore retain overall access change, cost barriers and perceived suitability. This sector submission reports market research without full survey methods. Lending also differs from redistribution, so it suggests candidates rather than validating this questionnaire. Availability remains a coverage gap because Q1 does not measure it separately. Q2 and Q3 provide context, while Q4 records use and Q5 asks about barriers. Transport, storage and household circumstances may help explain an answer.</w:t>
      </w:r>
    </w:p>
    <w:p>
      <w:r>
        <w:br w:type="page"/>
      </w:r>
    </w:p>
    <w:p>
      <w:pPr>
        <w:pStyle w:val="Heading1"/>
        <w:keepNext/>
      </w:pPr>
      <w:r>
        <w:t>Slide 5 | 2:35–3:45 | Measurement options and design choice</w:t>
      </w:r>
    </w:p>
    <w:p>
      <w:pPr>
        <w:spacing w:after="160"/>
      </w:pPr>
      <w:r>
        <w:t>The matrix applies all four criteria. Relevance comes first because access change is the research question; feasibility then limits what fits before A3. Usable records can have low burden but mainly describe activity. Satisfaction is simple but weakly aligned with access change. Retrospective change needs one follow-up, but relies on recall. Prospective baseline and follow-up reduces reliance on recalled change, but needs two waves, comparable questions, linkage and enough time; attrition remains. My conditional choice is retrospective change plus contextual items if an eligible four-week follow-up fits. Prefer a suitable prospective design if feasible. If neither fits, audit existing questions and data. Burden and interpretation remain constraints. These are design judgements, not measured ratings.</w:t>
      </w:r>
    </w:p>
    <w:p>
      <w:pPr>
        <w:pStyle w:val="Heading1"/>
        <w:keepNext/>
      </w:pPr>
      <w:r>
        <w:t>Slide 6 | 3:45–4:15 | One main indicator; four supporting items</w:t>
      </w:r>
    </w:p>
    <w:p>
      <w:pPr>
        <w:spacing w:after="160"/>
      </w:pPr>
      <w:r>
        <w:t>The items have distinct reporting roles. Q1 is the main reported access-change indicator. Q2 covers cost, Q3 perceived suitability, and Q4 recent use; these provide context. Q5 helps explain change and barriers. Report categories and valid item counts, while showing uncertain and skipped answers separately. Do not combine the answers into an access score.</w:t>
      </w:r>
    </w:p>
    <w:p>
      <w:pPr>
        <w:pStyle w:val="Heading1"/>
        <w:keepNext/>
      </w:pPr>
      <w:r>
        <w:t>Slide 7 | 4:15–4:45 | Match each claim to the study design</w:t>
      </w:r>
    </w:p>
    <w:p>
      <w:pPr>
        <w:spacing w:after="160"/>
      </w:pPr>
      <w:r>
        <w:t>Recall can distort the comparison, and responding families may differ from others. Specify the reference periods and say 'among responding families'. Without an adequate comparison, neither retrospective nor prospective responses establish programme effects. Records and interviews can help interpret accounts, but do not remove that limitation.</w:t>
      </w:r>
    </w:p>
    <w:p>
      <w:pPr>
        <w:pStyle w:val="Heading1"/>
        <w:keepNext/>
      </w:pPr>
      <w:r>
        <w:t>Slide 8 | 4:45–6:00 | Testing plan and A3 feasibility</w:t>
      </w:r>
    </w:p>
    <w:p>
      <w:pPr>
        <w:spacing w:after="160"/>
      </w:pPr>
      <w:r>
        <w:t>First, ask the client or tutor to arrange recruitment and confirm contact arrangements, baseline data and the A3 analysis deadline. Check whether families already passed four weeks; a new wait must still leave analysis and writing time. Second, I propose three to five adult-carer cognitive interviews, probing question meaning, recall periods and answer choices. Log misunderstandings, missing options and form completion time. The proposed three-minute form target excludes interview probes. Following ONS, add an end-to-end walkthrough if digital; UX also checks understanding. Third, reword unclear terms, add options, remove unnecessary items and recheck changes. If the survey is fixed or time too short, audit current questions and data, then recommend the next cycle. The team receives the survey, indicator guide and reporting rules for its impact report and media collateral.</w:t>
      </w:r>
    </w:p>
    <w:sectPr w:rsidR="00FC693F" w:rsidRPr="0006063C" w:rsidSect="00034616">
      <w:footerReference w:type="default" r:id="rId9"/>
      <w:pgSz w:w="12240" w:h="15840"/>
      <w:pgMar w:top="1080" w:right="1152" w:bottom="1080"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COMM5030 | Speaker script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COMM5030 A2: Six-minute speaker script</dc:title>
  <dc:subject>Joy of Giving — proposed parent survey and reported play-resource access</dc:subject>
  <dc:creator>Yangyang Xiao</dc:creator>
  <cp:keywords/>
  <dc:description>generated by python-docx</dc:description>
  <cp:lastModifiedBy/>
  <cp:revision>1</cp:revision>
  <dcterms:created xsi:type="dcterms:W3CDTF">2013-12-23T23:15:00Z</dcterms:created>
  <dcterms:modified xsi:type="dcterms:W3CDTF">2013-12-23T23:15:00Z</dcterms:modified>
  <cp:category/>
</cp:coreProperties>
</file>