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/>
          <w:b/>
          <w:color w:val="0A0D10"/>
          <w:sz w:val="24"/>
        </w:rPr>
        <w:t>ESTHIEN LABS</w:t>
      </w:r>
    </w:p>
    <w:p>
      <w:pPr>
        <w:spacing w:before="360" w:after="120" w:line="264" w:lineRule="auto"/>
      </w:pPr>
      <w:r>
        <w:rPr>
          <w:rFonts w:ascii="Calibri" w:hAnsi="Calibri"/>
          <w:b/>
          <w:color w:val="0A0D10"/>
          <w:sz w:val="48"/>
        </w:rPr>
        <w:t>Legal Foundation Pack</w:t>
      </w:r>
    </w:p>
    <w:p>
      <w:pPr>
        <w:spacing w:before="0" w:after="320" w:line="264" w:lineRule="auto"/>
      </w:pPr>
      <w:r>
        <w:rPr>
          <w:rFonts w:ascii="Calibri" w:hAnsi="Calibri"/>
          <w:b w:val="0"/>
          <w:color w:val="4A5C63"/>
          <w:sz w:val="26"/>
        </w:rPr>
        <w:t>30 root templates for founders, employees, investors, governance, and company operations.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160"/>
        <w:gridCol w:w="7200"/>
      </w:tblGrid>
      <w:tr>
        <w:tc>
          <w:tcPr>
            <w:tcW w:type="dxa" w:w="216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Company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Esthien Labs / Esthien Pvt Ltd [confirm exact legal name and CIN]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Classification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Confidential - Draft templates for review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Use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Internal drafting, legal review, HR setup, board review, investor preparation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Date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Prepared on 29 June 2026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Owner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Founder / Company Secretary / Legal Counsel</w:t>
            </w:r>
          </w:p>
        </w:tc>
      </w:tr>
    </w:tbl>
    <w:p/>
    <w:p>
      <w:pPr>
        <w:spacing w:before="0" w:after="320" w:line="264" w:lineRule="auto"/>
        <w:pBdr>
          <w:bottom w:val="single" w:sz="6" w:space="8" w:color="9B1C1C"/>
        </w:pBdr>
      </w:pPr>
      <w:r>
        <w:rPr>
          <w:rFonts w:ascii="Calibri" w:hAnsi="Calibri"/>
          <w:b/>
          <w:color w:val="9B1C1C"/>
          <w:sz w:val="21"/>
        </w:rPr>
        <w:t>Draft template only. This document is not legal advice, is not a statutory filing, and should be reviewed by an India-qualified advocate/company secretary/tax advisor before signature, issuance, board approval, or filing.</w:t>
      </w:r>
    </w:p>
    <w:p>
      <w:pPr>
        <w:spacing w:before="0" w:after="120" w:line="264" w:lineRule="auto"/>
      </w:pPr>
      <w:r>
        <w:rPr>
          <w:rFonts w:ascii="Calibri" w:hAnsi="Calibri"/>
          <w:b w:val="0"/>
          <w:color w:val="000000"/>
          <w:sz w:val="21"/>
        </w:rPr>
        <w:t>This pack assumes an India-based private limited company. Replace every bracketed placeholder, confirm applicable state labour rules, tax treatment, sector-specific permissions, foreign investment conditions, and board/shareholder approval routes before use.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Legal Basis and Review Notes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These templates were structured around common India private limited company workflows. The pack references public legal materials for orientation only; counsel must confirm current applicability before execution.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Companies Act, 2013 - Section 173: India Code record for Board meetings; includes board meeting notice requirements. https://www.indiacode.nic.in/show-data?actid=AC_CEN_22_29_00008_201318_1517807327856&amp;orderno=177&amp;sectionId=49099&amp;sectionno=173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Secretarial Standard on Board Meetings (SS-1): ICSI standard on Board meeting practice, effective from 1 April 2024. https://www.icsi.edu/media/webmodules/SS-1_1_2024.pdf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Companies Act, 2013 - Section 62: India Code record for further issue of share capital, including employee stock option schemes. https://www.indiacode.nic.in/show-data?actid=AC_CEN_22_29_00008_201318_1517807327856&amp;orderno=64&amp;sectionId=1252&amp;sectionno=62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Sexual Harassment of Women at Workplace Act, 2013: India Code PDF for POSH policy, grievance, and internal committee alignment. https://www.indiacode.nic.in/bitstream/123456789/2104/1/A2013-14.pdf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Digital Personal Data Protection Act, 2023: Official MeitY PDF for digital personal data processing duties and privacy policy alignment. https://www.meity.gov.in/static/uploads/2024/06/2bf1f0e9f04e6fb4f8fef35e82c42aa5.pdf</w:t>
      </w:r>
    </w:p>
    <w:p>
      <w:pPr>
        <w:spacing w:before="0" w:after="240" w:line="264" w:lineRule="auto"/>
      </w:pPr>
      <w:r>
        <w:rPr>
          <w:rFonts w:ascii="Calibri" w:hAnsi="Calibri"/>
          <w:b/>
          <w:color w:val="0A0D10"/>
          <w:sz w:val="21"/>
        </w:rPr>
        <w:t>Common governance reminders to verify: first board meeting timeline, board notice period, annual board meeting cadence, statutory registers, share issuance authority, ESOP approval route, employment law classification, stamp duty, tax withholding, privacy notices, and sector-specific medical/automotive compliance.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Template Index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01. Incorporation and Statutory Setup Checklist - Corporate Governance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02. Consent to Act as Director and Disclosure Pack - Corporate Governance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03. First Board Meeting Notice and Agenda - Corporate Governance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04. First Board Meeting Minutes and Resolutions - Corporate Governance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05. Shareholder Written Consent / EGM Notice and Minutes - Corporate Governance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06. Statutory Register and Records Index - Corporate Governance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07. Board Resolution for Bank Account and Finance Authority - Corporate Governance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08. Board Resolution for Brand, Domain, Letterhead, and Public Profiles - Corporate Governance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09. Founder Agreement - Founder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10. Founder Intellectual Property Assignment - Founder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11. Founder Confidentiality and Non-Disclosure Agreement - Founder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12. Founder Service / Employment Agreement - Founder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13. Founder Vesting and Reverse Vesting Term Sheet - Founder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14. Conflict of Interest and Related Party Disclosure - Founder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15. Investor Confidentiality Agreement - Investor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16. Seed Investment Term Sheet - Investor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17. Share Subscription Agreement - Key Template - Investor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18. Shareholders Agreement - Key Template - Investor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19. Convertible Preference Share / Convertible Instrument Term Sheet - Investor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20. ESOP Scheme and Grant Letter - Investor / Employee Equity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21. Employee Offer Letter - Employee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22. Appointment Letter / Employment Agreement - Employee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23. Employee Invention and IP Assignment Agreement - Employee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24. Employee Confidentiality and Data Security Agreement - Employee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25. Employee Handbook Core Policies - Employee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26. Anti-Harassment, POSH, and Grievance Policy - Employee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27. Consultant / Advisor Agreement - Operations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28. Vendor / Services Agreement - Operations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29. Website Terms of Use - Public / Website Documents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color w:val="000000"/>
          <w:sz w:val="21"/>
        </w:rPr>
        <w:t>30. Privacy Policy and Data Processing Notice - Public / Website Documents</w:t>
      </w: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01. Incorporation and Statutory Setup Checklist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Corporate Governance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Create the first operating record after incorporation and prevent missing statutory basics.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Template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Company legal name: [Esthien Pvt Ltd]. CIN: [insert]. Registered office: [insert].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Prepare and maintain statutory registers, certificate of incorporation, PAN/TAN/GST records if applicable, common seal policy if adopted, digital signature records, board file, shareholder file, contracts file, employment file, and IP assignment file.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Confirm first board meeting date and first set of board resolutions. Maintain signed attendance, notice, agenda, minutes, and resolutions in one indexed folder.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Approval and Records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Owner: Founder / Company Secretary.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Review cadence: monthly until all incorporation actions are closed, then quarterly.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Evidence to store: filed forms, challans, board minutes, registers, bank KYC, tax registration confirmations, domain and email ownership evidence.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02. Consent to Act as Director and Disclosure Pack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Corporate Governance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Capture director consent, identity, interests, and ongoing disclosure obligations.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Template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I, [director name], having DIN/PAN/passport [insert], consent to act as Director of [company]. I confirm that I am not disqualified from appointment and will disclose interests, changes in particulars, and conflicts as required.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I agree to act in good faith, exercise reasonable care, maintain confidentiality, and preserve company records received in my capacity as director.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Attachments: identity proof, address proof, DIN details, consent form, disclosure of interest, list of other directorships/shareholdings, and contact details for board notices.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Signature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Signed by: [director]. Date: [insert]. Place: [insert]. Witness: [insert if required].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11"/>
          <w:footerReference w:type="default" r:id="rId12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03. First Board Meeting Notice and Agenda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Corporate Governance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Provide a reusable first board meeting notice and agenda.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Notice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Notice is hereby given that the first meeting of the Board of Directors of [company] will be held on [date] at [time] at [venue/video link], to transact the agenda below.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Agenda: take note of incorporation, appoint chairperson, approve registered office records, take note of subscribers and share capital, approve bank account opening, adopt statutory registers, authorize filings, approve brand/domain/email assets, appoint advisors, and approve initial policies.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Dispatch Record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Notice sent to: [director list]. Mode: [email/courier/hand delivery]. Date and time: [insert]. Proof retained: [insert].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13"/>
          <w:footerReference w:type="defaul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04. First Board Meeting Minutes and Resolutions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Corporate Governance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Record foundational board approvals in a defensible minutes format.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Minutes Template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Meeting of the Board of Directors of [company] held on [date] at [time]. Directors present: [insert]. Invitees: [insert]. Chair: [insert].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The Board took note of incorporation, certificate of incorporation, registered office, subscribers, initial shareholding, statutory records, and commencement actions.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Resolved that [authorized person] is authorized to open and operate bank accounts, execute KYC, appoint tax/accounting/legal vendors, maintain statutory registers, approve company letterhead and brand assets, and perform all incidental acts.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Close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There being no further business, the meeting concluded at [time] with a vote of thanks to the Chair.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15"/>
          <w:footerReference w:type="default" r:id="rId1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05. Shareholder Written Consent / EGM Notice and Minutes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Corporate Governance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Provide shareholder approval formats for matters requiring member consent.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Template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The members of [company] approve the following resolution as [ordinary/special] resolution: [full resolution text].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Background and explanatory note: [describe purpose, legal basis, valuation/tax consideration, effect on rights, filings required, and interested parties].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Voting record: members present or consenting, shareholding, votes for/against/abstain, and authorization for filings.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Records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Maintain notice, explanatory statement, attendance/proxy if applicable, signed minutes, shareholder consent, filings, and updated registers.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17"/>
          <w:footerReference w:type="default" r:id="rId1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06. Statutory Register and Records Index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Corporate Governance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Create a practical index for registers, minute books, and approvals.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Index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Register of members; register of directors and key managerial personnel; register of charges; register of contracts and arrangements in which directors are interested; share certificates; minutes of board meetings; minutes of general meetings; filings and challans; contracts and IP assignments.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Each register should record version owner, storage location, backup method, last review date, and access control.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Control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Do not alter executed records without a dated correction note and approval route. Preserve scan and original separately.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19"/>
          <w:footerReference w:type="default" r:id="rId2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07. Board Resolution for Bank Account and Finance Authority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Corporate Governance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Authorize bank account opening, signatories, and transaction controls.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Resolution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Resolved that a current account be opened with [bank] in the name of [company], and that [names/designations] are authorized signatories.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Transaction authority: up to INR [amount] by [single/joint] authorization; above INR [amount] requires board/founder approval. Online banking, cards, UPI, and payment gateways are authorized subject to internal controls.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Controls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Monthly bank reconciliation, expense documentation, maker-checker access, vendor onboarding approval, and no personal expenses without written reimbursement policy.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21"/>
          <w:footerReference w:type="default" r:id="rId22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08. Board Resolution for Brand, Domain, Letterhead, and Public Profiles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Corporate Governance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Approve official identity assets and public communication channels.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Resolution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Resolved that the company adopt the Esthien Labs brand system, domain [www.esthien.com], official email addresses, logo assets, public social profiles, and letterhead templates as official communication assets.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Authorized persons may maintain DNS, hosting, email, website, LinkedIn, Instagram, and related profiles, subject to brand, privacy, and security controls.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Records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Store registrar ownership, admin access list, 2FA status, logo files, brand kit, and public profile URLs in the corporate records folder.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23"/>
          <w:footerReference w:type="default" r:id="rId2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09. Founder Agreement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Founder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Set founder roles, equity expectations, governance, and departure handling.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Core Terms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Parties: [founder names] and [company]. Effective date: [insert]. Purpose: build Esthien Labs as a deep-tech company focused on FPGA chipsets, physical intelligence, medical assistive systems, and automotive sensing.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Roles: each founder will perform duties assigned by the Board and will act in the best interests of the company.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Equity: initial shareholding, vesting/reverse vesting, cliff, acceleration, repurchase rights, transfer restrictions, and treatment of bad leaver/good leaver events must be finalized with counsel.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IP: all work product, inventions, designs, source code, technical documents, brand assets, domain assets, and business materials created for the company belong to the company.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Disputes: escalation to board discussion, mediation, and jurisdiction/venue [insert].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Signatures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Founder 1: [insert]. Founder 2: [insert]. Company: [authorized signatory].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25"/>
          <w:footerReference w:type="default" r:id="rId2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10. Founder Intellectual Property Assignment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Founder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Assign pre-incorporation and ongoing founder-created IP to the company.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Assignment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Assignor irrevocably assigns to [company] all rights, title, and interest in company-related inventions, designs, software, documentation, schematics, chip architecture concepts, brand assets, domain assets, trade secrets, research notes, and business materials created before or after incorporation for company purposes.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Assignor will execute further documents and assist with filings, registrations, patent applications, copyright records, and enforcement.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Excluded IP must be listed in Schedule A. Any unlisted company-related material is presumed assigned to the company.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Moral Rights and Confidentiality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To the extent permitted by law, assignor waives or agrees not to assert moral rights against company use and will keep all non-public information confidential.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27"/>
          <w:footerReference w:type="default" r:id="rId2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11. Founder Confidentiality and Non-Disclosure Agreement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Founder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Protect sensitive founder-stage information.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Confidential Information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Includes technical architectures, FPGA designs, chipset roadmaps, medical/automotive concepts, vendor terms, investor materials, customer discussions, financial models, source code, business plans, and internal communications.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Recipient may use confidential information only for company purposes and must protect it using reasonable safeguards.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Exceptions and Term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Exceptions: information already public through no breach, independently developed without use of confidential information, or lawfully received from a third party.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Confidentiality continues until information becomes public through no breach, with trade secrets protected as long as they remain trade secrets.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29"/>
          <w:footerReference w:type="default" r:id="rId3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12. Founder Service / Employment Agreement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Founder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Set founder duties, compensation, confidentiality, IP, and termination basics.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Terms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Position: [Founder/CEO/CTO]. Reporting: Board of Directors. Start date: [insert]. Compensation: INR [insert] per month or deferred until board approval.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Duties include strategy, hiring, product, technology, fundraising, partnerships, compliance, and any duties assigned by the Board.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Founder will comply with company policies, protect confidential information, assign company IP, avoid conflicts, and return company property on termination.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Termination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Termination, notice, garden leave, severance, equity treatment, and access removal should align with the founder agreement and board approvals.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31"/>
          <w:footerReference w:type="default" r:id="rId32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13. Founder Vesting and Reverse Vesting Term Sheet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Founder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Capture founder equity vesting principles before definitive agreements.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Term Sheet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Vesting schedule: [four years with one-year cliff / custom]. Commencement: [date]. Reverse vesting applies to founder shares subject to company repurchase on departure.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Good leaver: [death, disability, termination without cause, board-approved reason]. Bad leaver: [fraud, misconduct, IP breach, confidentiality breach, competing business, resignation before cliff].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Acceleration: [none/single-trigger/double-trigger] to be approved by shareholders/investors if applicable.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Implementation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Definitive documents may include shareholders agreement, employment/service agreement, share transfer restrictions, Articles amendments, and board/shareholder approvals.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33"/>
          <w:footerReference w:type="default" r:id="rId3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14. Conflict of Interest and Related Party Disclosure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Founder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Capture founder/director conflicts and related party transactions.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Disclosure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Discloser: [name]. Role: [director/founder/employee]. I disclose the following direct or indirect interests, affiliations, investments, contracts, family relationships, or competing activities that may affect company decisions: [insert].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I will update this disclosure promptly when circumstances change and will abstain from decisions where required.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Board Action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Board review outcome: [approved/approved with conditions/not approved]. Conditions: [insert].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35"/>
          <w:footerReference w:type="default" r:id="rId3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15. Investor Confidentiality Agreement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Investor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Protect company information shared during fundraising or diligence.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Terms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Recipient will use confidential information solely to evaluate a potential investment, strategic partnership, or financing transaction with [company].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Recipient may share information only with representatives who need to know and are bound by confidentiality duties.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No license is granted to patents, designs, source code, trade secrets, brand assets, data, or other IP.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Return and Remedies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On request, recipient will return or destroy confidential materials except archival/legal retention copies. Company may seek injunctive relief for breach.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37"/>
          <w:footerReference w:type="default" r:id="rId3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16. Seed Investment Term Sheet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Investor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Summarize key commercial terms before definitive investment documents.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Indicative Terms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Issuer: [company]. Investor: [name]. Instrument: [equity/CCPS/CCD/SAFE-like contractual instrument subject to Indian law review]. Investment amount: INR [insert]. Valuation/cap: [insert].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Use of proceeds: product development, FPGA prototypes, team hiring, IP filings, compliance, pilots, and working capital.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Rights: information rights, reserved matters, pro-rata rights, board observer/director rights, transfer restrictions, anti-dilution, liquidation preference, founder vesting, ESOP pool, and warranties.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Status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Non-binding except confidentiality, exclusivity, costs, governing law, and dispute resolution if stated as binding.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39"/>
          <w:footerReference w:type="default" r:id="rId4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17. Share Subscription Agreement - Key Template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Investor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Provide a working skeleton for subscription of shares/securities.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Core Clauses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Investor subscribes for [number/class] securities at INR [price] per security, subject to conditions precedent, board/shareholder approvals, valuation report if applicable, filings, and receipt of funds.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Company warranties: incorporation, authority, capitalization, IP ownership, no undisclosed debt, compliance, tax filings, litigation, employment, data protection, and contracts.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Investor warranties: authority, funds, compliance with applicable laws, KYC, beneficial ownership, and investment intent.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Completion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At closing: funds received, securities allotted, share certificates/records issued, registers updated, filings completed, and closing deliverables exchanged.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41"/>
          <w:footerReference w:type="default" r:id="rId42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18. Shareholders Agreement - Key Template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Investor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Set governance and economic rights between founders, investors, and company.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Governance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Board composition, quorum, reserved matters, information rights, budgets, audit, related party transactions, founder commitments, and compliance obligations.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Transfer restrictions: right of first refusal, right of first offer, tag-along, drag-along, permitted transfers, lock-in, and prohibited transfers.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Economic rights: liquidation preference, anti-dilution, conversion, dividends, exit rights, pre-emptive rights, and ESOP pool management.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Company Protection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Founder IP assignment, confidentiality, non-solicit, conflict restrictions, data/security duties, and return of property.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43"/>
          <w:footerReference w:type="default" r:id="rId4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19. Convertible Preference Share / Convertible Instrument Term Sheet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Investor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Outline a possible India-reviewed convertible financing structure.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Terms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Instrument: [CCPS/CCD/other counsel-approved instrument]. Principal/subscription amount: INR [insert]. Conversion trigger: qualified financing, long-stop date, acquisition, IPO, or voluntary conversion.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Conversion price: [valuation cap/discount/fixed price] subject to applicable law, valuation, pricing guidelines, tax, foreign investment rules, and Articles authorization.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Investor protections: information rights, reserved matters, transfer rights, liquidation preference, anti-dilution, and dispute resolution.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Compliance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Do not issue until counsel confirms Companies Act, FEMA/FDI, tax, valuation, stamp duty, and filing requirements.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45"/>
          <w:footerReference w:type="default" r:id="rId4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20. ESOP Scheme and Grant Letter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Investor / Employee Equity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Create an employee stock option framework and grant template.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Scheme Terms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Pool size: [percentage/number]. Eligibility: employees/directors/consultants as permitted by law and scheme terms. Vesting: [schedule], with minimum vesting and approval requirements confirmed by counsel.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Exercise price, exercise period, lapse, resignation, termination, death/disability, transfer restrictions, tax withholding, administration, disclosures, and register maintenance must be specified.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Grant Letter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Grantee: [name]. Options: [number]. Grant date: [date]. Vesting commencement: [date]. Exercise price: INR [insert]. Acceptance deadline: [date].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This grant is subject to the ESOP scheme, board/shareholder approvals, applicable law, and continued service.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47"/>
          <w:footerReference w:type="default" r:id="rId4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21. Employee Offer Letter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Employee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Issue a pre-joining employment offer.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Offer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Dear [candidate], we are pleased to offer you the position of [title] at [company], reporting to [manager], with proposed start date [date] and work location [location/remote].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Compensation: fixed salary INR [insert] per annum, variable/bonus [insert], benefits [insert], equity eligibility [if any, subject to ESOP approvals].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This offer is conditional on background verification, identity/right-to-work checks, execution of appointment letter, IP assignment, confidentiality agreement, and company policies.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Acceptance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Please sign and return by [date]. This offer does not create employment until joining formalities are completed and the appointment letter is executed.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49"/>
          <w:footerReference w:type="default" r:id="rId5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22. Appointment Letter / Employment Agreement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Employee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Set core employment terms after acceptance.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Terms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Employee: [name]. Position: [title]. Start date: [date]. Probation: [period]. Work location: [insert]. Reporting manager: [insert]. Hours and leave: as per company policy and applicable law.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Duties: perform assigned responsibilities, comply with policies, protect company property and confidential information, assign IP, avoid conflicts, and follow security procedures.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Termination: notice period [insert], immediate termination for cause, return of property, final settlement, confidentiality survival, and post-employment restrictions where enforceable.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Policies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Employee acknowledges receipt of handbook, IT/security policy, anti-harassment policy, privacy notice, expense policy, and IP/confidentiality obligations.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51"/>
          <w:footerReference w:type="default" r:id="rId52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23. Employee Invention and IP Assignment Agreement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Employee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Assign employee-created work product and inventions to the company.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Assignment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Employee assigns to [company] all work product, inventions, designs, code, schematics, documents, data, models, processes, trade secrets, and improvements created within employment scope or using company resources.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Employee will promptly disclose inventions and assist with registrations, patent filings, prosecution, enforcement, and execution of further documents.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Excluded prior inventions must be listed in Schedule A before employment begins.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Open Source and Third-Party Materials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Employee may not introduce third-party code, datasets, designs, or open-source components into company work without approval and license review.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53"/>
          <w:footerReference w:type="default" r:id="rId5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24. Employee Confidentiality and Data Security Agreement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Employee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Protect technical, commercial, and personal data handled by employees.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Obligations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Employee will protect confidential information, use company systems securely, follow access controls, report incidents promptly, and not remove or disclose data except for authorized company purposes.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Special categories: medical prototypes, biosignal data, radar data, embedded system designs, vendor terms, customer data, investor materials, source code, chip architecture documents, and security credentials.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Return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On request or termination, employee will return devices, documents, credentials, notes, source material, and copies, and certify deletion from personal devices where required.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55"/>
          <w:footerReference w:type="default" r:id="rId5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25. Employee Handbook Core Policies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Employee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Provide a starter handbook with basic policies.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Policies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Code of conduct: integrity, lawful conduct, respectful workplace, confidentiality, accurate records, anti-bribery, no unauthorized public statements, and conflict disclosure.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Workplace: attendance, remote work, leave, reimbursement, travel, device use, information security, acceptable use, open-source review, procurement, and expense approvals.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People: equal opportunity, anti-harassment, grievance reporting, performance reviews, disciplinary process, and separation process.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Acknowledgement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Employee acknowledges that policies may be amended and that local law, employment contract, and mandatory statutory rights prevail over handbook language.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57"/>
          <w:footerReference w:type="default" r:id="rId5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26. Anti-Harassment, POSH, and Grievance Policy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Employee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Create a baseline workplace conduct and complaint framework.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Policy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The company prohibits sexual harassment, discrimination, retaliation, bullying, intimidation, and abusive conduct in the workplace, online channels, events, travel, and remote work.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Complaints may be made to [email/person]. The company will treat complaints sensitively, prohibit retaliation, conduct a fair inquiry, and take appropriate action.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If statutory POSH committee requirements apply, the company will constitute and maintain the Internal Committee, notices, training, and records as required.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Acknowledgement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All employees, consultants, interns, founders, directors, and visitors must comply with this policy.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59"/>
          <w:footerReference w:type="default" r:id="rId6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27. Consultant / Advisor Agreement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Operations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Engage contractors, advisors, and technical consultants cleanly.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Terms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Consultant: [name]. Services: [scope]. Term: [dates]. Fees: INR [amount]/[milestone]. Expenses: [approval process]. Relationship: independent contractor, not employee.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Deliverables and work product are assigned to the company upon creation/payment as specified. Consultant must maintain confidentiality, avoid conflicts, and comply with company security rules.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Consultant will not bind the company, hire staff, incur expenses, or make public statements without written authorization.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Termination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Either party may terminate with [notice]. Company may terminate immediately for breach, misconduct, confidentiality/IP breach, or security risk.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61"/>
          <w:footerReference w:type="default" r:id="rId62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28. Vendor / Services Agreement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Operations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Create a basic procurement and vendor services template.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Terms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Vendor will provide [services/products] under [SOW/PO]. Fees, taxes, payment terms, milestones, acceptance criteria, warranties, support, and service levels are set out in Schedule A.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Vendor must protect confidential information, comply with security requirements, process personal data only on instructions if applicable, and maintain required licenses.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IP ownership: company-owned deliverables belong to company; vendor background IP remains vendor property but company receives necessary license.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Risk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Include indemnity, limitation of liability, insurance, audit rights, termination rights, and transition assistance based on deal risk.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63"/>
          <w:footerReference w:type="default" r:id="rId6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29. Website Terms of Use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Public / Website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Set public website terms for visitors.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Terms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The website provides general information about Esthien Labs. No product, medical, automotive safety, investment, employment, or technical advice is provided through the website.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Visitors may not misuse the site, probe security, copy brand assets without permission, scrape content excessively, submit unlawful material, or imply endorsement.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All content, brand assets, logos, text, diagrams, and visual systems are owned by or licensed to the company.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Disclaimers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The site is provided as-is. Company may change content, restrict access, or update terms. Governing law and jurisdiction: [insert].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p>
      <w:pPr>
        <w:sectPr>
          <w:headerReference w:type="default" r:id="rId65"/>
          <w:footerReference w:type="default" r:id="rId6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2E74B5"/>
          <w:sz w:val="32"/>
        </w:rPr>
        <w:t>30. Privacy Policy and Data Processing Notice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Category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Public / Website Documents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Purpose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Create a starter privacy notice for website and business inquiries.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- legal review required before use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Notice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Data collected: name, email, organization, inquiry content, social profile interactions, website analytics, security logs, and any information voluntarily provided.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Purposes: respond to inquiries, manage partnerships, investor conversations, recruitment, security, legal compliance, analytics, and business operations.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Rights and requests: contact [privacy@esthien.com/contact@esthien.com]. The company will respond as required by applicable law.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Controls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Maintain data inventory, access controls, retention schedule, breach response process, vendor processing terms, and privacy policy review cadence.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26"/>
        </w:rPr>
        <w:t>Execution Block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Approved by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[Board / shareholders / authorized signatory / employee / counterparty]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Signature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[name, designation, date, place]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Record owner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[Founder / HR / Company Secretary / Legal / Finance]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/>
                <w:color w:val="0A0D10"/>
                <w:sz w:val="20"/>
              </w:rPr>
              <w:t>Review note</w:t>
            </w:r>
          </w:p>
        </w:tc>
        <w:tc>
          <w:tcPr>
            <w:tcW w:type="dxa" w:w="7560"/>
            <w:vAlign w:val="center"/>
          </w:tcPr>
          <w:p>
            <w:r/>
            <w:r>
              <w:rPr>
                <w:rFonts w:ascii="Calibri" w:hAnsi="Calibri"/>
                <w:color w:val="000000"/>
                <w:sz w:val="20"/>
              </w:rPr>
              <w:t>Draft template only. This document is not legal advice, is not a statutory filing, and should be reviewed by an India-qualified advocate/company secretary/tax advisor before signature, issuance, board approval, or filing.</w:t>
            </w:r>
          </w:p>
        </w:tc>
      </w:tr>
    </w:tbl>
    <w:p/>
    <w:sectPr w:rsidR="00FC693F" w:rsidRPr="0006063C" w:rsidSect="00034616">
      <w:headerReference w:type="default" r:id="rId67"/>
      <w:footerReference w:type="default" r:id="rId6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C63"/>
        <w:sz w:val="17"/>
      </w:rPr>
      <w:t>Confidential template - review before use - contact@esthien.com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BD5D8"/>
      </w:pBdr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sthien-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Fonts w:ascii="Calibri" w:hAnsi="Calibri"/>
        <w:b/>
        <w:color w:val="0A0D10"/>
        <w:sz w:val="18"/>
      </w:rPr>
      <w:t>ESTHIEN LABS</w:t>
    </w:r>
    <w:r>
      <w:rPr>
        <w:rFonts w:ascii="Calibri" w:hAnsi="Calibri"/>
        <w:color w:val="4A5C63"/>
        <w:sz w:val="18"/>
      </w:rPr>
      <w:t xml:space="preserve">  |  Legal Foundation Pack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0" w:lineRule="auto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0" w:lineRule="auto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header" Target="header9.xml"/><Relationship Id="rId26" Type="http://schemas.openxmlformats.org/officeDocument/2006/relationships/footer" Target="footer9.xml"/><Relationship Id="rId27" Type="http://schemas.openxmlformats.org/officeDocument/2006/relationships/header" Target="header10.xml"/><Relationship Id="rId28" Type="http://schemas.openxmlformats.org/officeDocument/2006/relationships/footer" Target="footer10.xml"/><Relationship Id="rId29" Type="http://schemas.openxmlformats.org/officeDocument/2006/relationships/header" Target="header11.xml"/><Relationship Id="rId30" Type="http://schemas.openxmlformats.org/officeDocument/2006/relationships/footer" Target="footer11.xml"/><Relationship Id="rId31" Type="http://schemas.openxmlformats.org/officeDocument/2006/relationships/header" Target="header12.xml"/><Relationship Id="rId32" Type="http://schemas.openxmlformats.org/officeDocument/2006/relationships/footer" Target="footer12.xml"/><Relationship Id="rId33" Type="http://schemas.openxmlformats.org/officeDocument/2006/relationships/header" Target="header13.xml"/><Relationship Id="rId34" Type="http://schemas.openxmlformats.org/officeDocument/2006/relationships/footer" Target="footer13.xml"/><Relationship Id="rId35" Type="http://schemas.openxmlformats.org/officeDocument/2006/relationships/header" Target="header14.xml"/><Relationship Id="rId36" Type="http://schemas.openxmlformats.org/officeDocument/2006/relationships/footer" Target="footer14.xml"/><Relationship Id="rId37" Type="http://schemas.openxmlformats.org/officeDocument/2006/relationships/header" Target="header15.xml"/><Relationship Id="rId38" Type="http://schemas.openxmlformats.org/officeDocument/2006/relationships/footer" Target="footer15.xml"/><Relationship Id="rId39" Type="http://schemas.openxmlformats.org/officeDocument/2006/relationships/header" Target="header16.xml"/><Relationship Id="rId40" Type="http://schemas.openxmlformats.org/officeDocument/2006/relationships/footer" Target="footer16.xml"/><Relationship Id="rId41" Type="http://schemas.openxmlformats.org/officeDocument/2006/relationships/header" Target="header17.xml"/><Relationship Id="rId42" Type="http://schemas.openxmlformats.org/officeDocument/2006/relationships/footer" Target="footer17.xml"/><Relationship Id="rId43" Type="http://schemas.openxmlformats.org/officeDocument/2006/relationships/header" Target="header18.xml"/><Relationship Id="rId44" Type="http://schemas.openxmlformats.org/officeDocument/2006/relationships/footer" Target="footer18.xml"/><Relationship Id="rId45" Type="http://schemas.openxmlformats.org/officeDocument/2006/relationships/header" Target="header19.xml"/><Relationship Id="rId46" Type="http://schemas.openxmlformats.org/officeDocument/2006/relationships/footer" Target="footer19.xml"/><Relationship Id="rId47" Type="http://schemas.openxmlformats.org/officeDocument/2006/relationships/header" Target="header20.xml"/><Relationship Id="rId48" Type="http://schemas.openxmlformats.org/officeDocument/2006/relationships/footer" Target="footer20.xml"/><Relationship Id="rId49" Type="http://schemas.openxmlformats.org/officeDocument/2006/relationships/header" Target="header21.xml"/><Relationship Id="rId50" Type="http://schemas.openxmlformats.org/officeDocument/2006/relationships/footer" Target="footer21.xml"/><Relationship Id="rId51" Type="http://schemas.openxmlformats.org/officeDocument/2006/relationships/header" Target="header22.xml"/><Relationship Id="rId52" Type="http://schemas.openxmlformats.org/officeDocument/2006/relationships/footer" Target="footer22.xml"/><Relationship Id="rId53" Type="http://schemas.openxmlformats.org/officeDocument/2006/relationships/header" Target="header23.xml"/><Relationship Id="rId54" Type="http://schemas.openxmlformats.org/officeDocument/2006/relationships/footer" Target="footer23.xml"/><Relationship Id="rId55" Type="http://schemas.openxmlformats.org/officeDocument/2006/relationships/header" Target="header24.xml"/><Relationship Id="rId56" Type="http://schemas.openxmlformats.org/officeDocument/2006/relationships/footer" Target="footer24.xml"/><Relationship Id="rId57" Type="http://schemas.openxmlformats.org/officeDocument/2006/relationships/header" Target="header25.xml"/><Relationship Id="rId58" Type="http://schemas.openxmlformats.org/officeDocument/2006/relationships/footer" Target="footer25.xml"/><Relationship Id="rId59" Type="http://schemas.openxmlformats.org/officeDocument/2006/relationships/header" Target="header26.xml"/><Relationship Id="rId60" Type="http://schemas.openxmlformats.org/officeDocument/2006/relationships/footer" Target="footer26.xml"/><Relationship Id="rId61" Type="http://schemas.openxmlformats.org/officeDocument/2006/relationships/header" Target="header27.xml"/><Relationship Id="rId62" Type="http://schemas.openxmlformats.org/officeDocument/2006/relationships/footer" Target="footer27.xml"/><Relationship Id="rId63" Type="http://schemas.openxmlformats.org/officeDocument/2006/relationships/header" Target="header28.xml"/><Relationship Id="rId64" Type="http://schemas.openxmlformats.org/officeDocument/2006/relationships/footer" Target="footer28.xml"/><Relationship Id="rId65" Type="http://schemas.openxmlformats.org/officeDocument/2006/relationships/header" Target="header29.xml"/><Relationship Id="rId66" Type="http://schemas.openxmlformats.org/officeDocument/2006/relationships/footer" Target="footer29.xml"/><Relationship Id="rId67" Type="http://schemas.openxmlformats.org/officeDocument/2006/relationships/header" Target="header30.xml"/><Relationship Id="rId68" Type="http://schemas.openxmlformats.org/officeDocument/2006/relationships/footer" Target="footer30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8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0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6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8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0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6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8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0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