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0A0D10"/>
          <w:sz w:val="24"/>
        </w:rPr>
        <w:t>ESTHIEN LABS</w:t>
      </w:r>
    </w:p>
    <w:p>
      <w:pPr>
        <w:spacing w:before="360" w:after="120" w:line="264" w:lineRule="auto"/>
      </w:pPr>
      <w:r>
        <w:rPr>
          <w:rFonts w:ascii="Calibri" w:hAnsi="Calibri"/>
          <w:b/>
          <w:color w:val="0A0D10"/>
          <w:sz w:val="48"/>
        </w:rPr>
        <w:t>Legal Foundation Pack</w:t>
      </w:r>
    </w:p>
    <w:p>
      <w:pPr>
        <w:spacing w:before="0" w:after="320" w:line="264" w:lineRule="auto"/>
      </w:pPr>
      <w:r>
        <w:rPr>
          <w:rFonts w:ascii="Calibri" w:hAnsi="Calibri"/>
          <w:b w:val="0"/>
          <w:color w:val="4A5C63"/>
          <w:sz w:val="26"/>
        </w:rPr>
        <w:t>30 root templates for founders, employees, investors, governance, and company operations.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60"/>
        <w:gridCol w:w="720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Company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Esthien Labs / Esthien Labs Private Limited [confirm exact legal name and CIN]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Classification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Confidential - Draft templates for review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Use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Internal drafting, legal review, HR setup, board review, investor preparation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Date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Prepared on 29 June 2026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Owner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Founder / Company Secretary / Legal Counsel</w:t>
            </w:r>
          </w:p>
        </w:tc>
      </w:tr>
    </w:tbl>
    <w:p/>
    <w:p>
      <w:pPr>
        <w:spacing w:before="0" w:after="320" w:line="264" w:lineRule="auto"/>
        <w:pBdr>
          <w:bottom w:val="single" w:sz="6" w:space="8" w:color="9B1C1C"/>
        </w:pBdr>
      </w:pPr>
      <w:r>
        <w:rPr>
          <w:rFonts w:ascii="Calibri" w:hAnsi="Calibri"/>
          <w:b/>
          <w:color w:val="9B1C1C"/>
          <w:sz w:val="21"/>
        </w:rPr>
        <w:t>Draft template only. This document is not legal advice, is not a statutory filing, and should be reviewed by an India-qualified advocate/company secretary/tax advisor before signature, issuance, board approval, or filing.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1"/>
        </w:rPr>
        <w:t>This pack assumes an India-based private limited company. Replace every bracketed placeholder, confirm applicable state labour rules, tax treatment, sector-specific permissions, foreign investment conditions, and board/shareholder approval routes before use.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Legal Basis and Review Notes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These templates were structured around common India private limited company workflows. The pack references public legal materials for orientation only; counsel must confirm current applicability before execution.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Companies Act, 2013 - Section 173: India Code record for Board meetings; includes board meeting notice requirements. https://www.indiacode.nic.in/show-data?actid=AC_CEN_22_29_00008_201318_1517807327856&amp;orderno=177&amp;sectionId=49099&amp;sectionno=173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Secretarial Standard on Board Meetings (SS-1): ICSI standard on Board meeting practice, effective from 1 April 2024. https://www.icsi.edu/media/webmodules/SS-1_1_2024.pdf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Companies Act, 2013 - Section 62: India Code record for further issue of share capital, including employee stock option schemes. https://www.indiacode.nic.in/show-data?actid=AC_CEN_22_29_00008_201318_1517807327856&amp;orderno=64&amp;sectionId=1252&amp;sectionno=62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Sexual Harassment of Women at Workplace Act, 2013: India Code PDF for POSH policy, grievance, and internal committee alignment. https://www.indiacode.nic.in/bitstream/123456789/2104/1/A2013-14.pdf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Digital Personal Data Protection Act, 2023: Official MeitY PDF for digital personal data processing duties and privacy policy alignment. https://www.meity.gov.in/static/uploads/2024/06/2bf1f0e9f04e6fb4f8fef35e82c42aa5.pdf</w:t>
      </w:r>
    </w:p>
    <w:p>
      <w:pPr>
        <w:spacing w:before="0" w:after="240" w:line="264" w:lineRule="auto"/>
      </w:pPr>
      <w:r>
        <w:rPr>
          <w:rFonts w:ascii="Calibri" w:hAnsi="Calibri"/>
          <w:b/>
          <w:color w:val="0A0D10"/>
          <w:sz w:val="21"/>
        </w:rPr>
        <w:t>Common governance reminders to verify: first board meeting timeline, board notice period, annual board meeting cadence, statutory registers, share issuance authority, ESOP approval route, employment law classification, stamp duty, tax withholding, privacy notices, and sector-specific medical/automotive compliance.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Template Index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01. Incorporation and Statutory Setup Checklist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02. Consent to Act as Director and Disclosure Pack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03. First Board Meeting Notice and Agenda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04. First Board Meeting Minutes and Resolutions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05. Shareholder Written Consent / EGM Notice and Minutes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06. Statutory Register and Records Index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07. Board Resolution for Bank Account and Finance Authority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08. Board Resolution for Brand, Domain, Letterhead, and Public Profiles - Corporate Governance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09. Founder Agreement - Founder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10. Founder Intellectual Property Assignment - Founder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11. Founder Confidentiality and Non-Disclosure Agreement - Founder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12. Founder Service / Employment Agreement - Founder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13. Founder Vesting and Reverse Vesting Term Sheet - Founder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14. Conflict of Interest and Related Party Disclosure - Founder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15. Investor Confidentiality Agreement - Investor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16. Seed Investment Term Sheet - Investor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17. Share Subscription Agreement - Key Template - Investor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18. Shareholders Agreement - Key Template - Investor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19. Convertible Preference Share / Convertible Instrument Term Sheet - Investor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20. ESOP Scheme and Grant Letter - Investor / Employee Equity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21. Employee Offer Letter - Employee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22. Appointment Letter / Employment Agreement - Employee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23. Employee Invention and IP Assignment Agreement - Employee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24. Employee Confidentiality and Data Security Agreement - Employee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25. Employee Handbook Core Policies - Employee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26. Anti-Harassment, POSH, and Grievance Policy - Employee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27. Consultant / Advisor Agreement - Operations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28. Vendor / Services Agreement - Operations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29. Website Terms of Use - Public / Website Documents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  <w:color w:val="000000"/>
          <w:sz w:val="21"/>
        </w:rPr>
        <w:t>30. Privacy Policy and Data Processing Notice - Public / Website Documents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01. Incorporation and Statutory Setup Checklist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 the first operating record after incorporation and prevent missing statutory basics.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Template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Company legal name: [Esthien Labs Private Limited]. CIN: [insert]. Registered office: [insert].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Prepare and maintain statutory registers, certificate of incorporation, PAN/TAN/GST records if applicable, common seal policy if adopted, digital signature records, board file, shareholder file, contracts file, employment file, and IP assignment file.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Confirm first board meeting date and first set of board resolutions. Maintain signed attendance, notice, agenda, minutes, and resolutions in one indexed folder.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Approval and Records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Owner: Founder / Company Secretary.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Review cadence: monthly until all incorporation actions are closed, then quarterly.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Evidence to store: filed forms, challans, board minutes, registers, bank KYC, tax registration confirmations, domain and email ownership evidence.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02. Consent to Act as Director and Disclosure Pack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Capture director consent, identity, interests, and ongoing disclosure obligations.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Template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I, [director name], having DIN/PAN/passport [insert], consent to act as Director of [company]. I confirm that I am not disqualified from appointment and will disclose interests, changes in particulars, and conflicts as required.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 agree to act in good faith, exercise reasonable care, maintain confidentiality, and preserve company records received in my capacity as director.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Attachments: identity proof, address proof, DIN details, consent form, disclosure of interest, list of other directorships/shareholdings, and contact details for board notices.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Signature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Signed by: [director]. Date: [insert]. Place: [insert]. Witness: [insert if required].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03. First Board Meeting Notice and Agenda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Provide a reusable first board meeting notice and agenda.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Notice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Notice is hereby given that the first meeting of the Board of Directors of [company] will be held on [date] at [time] at [venue/video link], to transact the agenda below.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Agenda: take note of incorporation, appoint chairperson, approve registered office records, take note of subscribers and share capital, approve bank account opening, adopt statutory registers, authorize filings, approve brand/domain/email assets, appoint advisors, and approve initial policies.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Dispatch Record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Notice sent to: [director list]. Mode: [email/courier/hand delivery]. Date and time: [insert]. Proof retained: [insert].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04. First Board Meeting Minutes and Resolutions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Record foundational board approvals in a defensible minutes format.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Minutes Template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Meeting of the Board of Directors of [company] held on [date] at [time]. Directors present: [insert]. Invitees: [insert]. Chair: [insert].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 Board took note of incorporation, certificate of incorporation, registered office, subscribers, initial shareholding, statutory records, and commencement actions.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Resolved that [authorized person] is authorized to open and operate bank accounts, execute KYC, appoint tax/accounting/legal vendors, maintain statutory registers, approve company letterhead and brand assets, and perform all incidental acts.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Close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There being no further business, the meeting concluded at [time] with a vote of thanks to the Chair.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05. Shareholder Written Consent / EGM Notice and Minutes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Provide shareholder approval formats for matters requiring member consent.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Template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 members of [company] approve the following resolution as [ordinary/special] resolution: [full resolution text].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Background and explanatory note: [describe purpose, legal basis, valuation/tax consideration, effect on rights, filings required, and interested parties].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Voting record: members present or consenting, shareholding, votes for/against/abstain, and authorization for filings.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Records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Maintain notice, explanatory statement, attendance/proxy if applicable, signed minutes, shareholder consent, filings, and updated registers.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17"/>
          <w:footerReference w:type="default" r:id="rId1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06. Statutory Register and Records Index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 a practical index for registers, minute books, and approvals.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Index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Register of members; register of directors and key managerial personnel; register of charges; register of contracts and arrangements in which directors are interested; share certificates; minutes of board meetings; minutes of general meetings; filings and challans; contracts and IP assignments.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Each register should record version owner, storage location, backup method, last review date, and access control.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Control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Do not alter executed records without a dated correction note and approval route. Preserve scan and original separately.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07. Board Resolution for Bank Account and Finance Authority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Authorize bank account opening, signatories, and transaction controls.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Resolution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Resolved that a current account be opened with [bank] in the name of [company], and that [names/designations] are authorized signatories.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Transaction authority: up to INR [amount] by [single/joint] authorization; above INR [amount] requires board/founder approval. Online banking, cards, UPI, and payment gateways are authorized subject to internal controls.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Controls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Monthly bank reconciliation, expense documentation, maker-checker access, vendor onboarding approval, and no personal expenses without written reimbursement policy.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21"/>
          <w:footerReference w:type="default" r:id="rId2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08. Board Resolution for Brand, Domain, Letterhead, and Public Profiles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Corporate Governance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Approve official identity assets and public communication channels.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Resolution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Resolved that the company adopt the Esthien Labs brand system, domain [www.esthien.com], official email addresses, logo assets, public social profiles, and letterhead templates as official communication assets.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Authorized persons may maintain DNS, hosting, email, website, LinkedIn, Instagram, and related profiles, subject to brand, privacy, and security controls.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Records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Store registrar ownership, admin access list, 2FA status, logo files, brand kit, and public profile URLs in the corporate records folder.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23"/>
          <w:footerReference w:type="default" r:id="rId2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09. Founder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Founder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Set founder roles, equity expectations, governance, and departure handling.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Core 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Parties: [founder names] and [company]. Effective date: [insert]. Purpose: build Esthien Labs as a deep-tech company focused on FPGA chipsets, physical intelligence, medical assistive systems, and automotive sensing.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Roles: each founder will perform duties assigned by the Board and will act in the best interests of the company.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Equity: initial shareholding, vesting/reverse vesting, cliff, acceleration, repurchase rights, transfer restrictions, and treatment of bad leaver/good leaver events must be finalized with counsel.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IP: all work product, inventions, designs, source code, technical documents, brand assets, domain assets, and business materials created for the company belong to the company.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Disputes: escalation to board discussion, mediation, and jurisdiction/venue [insert].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Signatures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Founder 1: [insert]. Founder 2: [insert]. Company: [authorized signatory].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25"/>
          <w:footerReference w:type="default" r:id="rId2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Founder Intellectual Property Assignment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Founder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Assign pre-incorporation and ongoing founder-created IP to the company.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Assignment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Assignor irrevocably assigns to [company] all rights, title, and interest in company-related inventions, designs, software, documentation, schematics, chip architecture concepts, brand assets, domain assets, trade secrets, research notes, and business materials created before or after incorporation for company purposes.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Assignor will execute further documents and assist with filings, registrations, patent applications, copyright records, and enforcement.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Excluded IP must be listed in Schedule A. Any unlisted company-related material is presumed assigned to the company.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Moral Rights and Confidentiality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To the extent permitted by law, assignor waives or agrees not to assert moral rights against company use and will keep all non-public information confidential.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27"/>
          <w:footerReference w:type="default" r:id="rId2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11. Founder Confidentiality and Non-Disclosure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Founder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Protect sensitive founder-stage information.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Confidential Information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Includes technical architectures, FPGA designs, chipset roadmaps, medical/automotive concepts, vendor terms, investor materials, customer discussions, financial models, source code, business plans, and internal communications.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Recipient may use confidential information only for company purposes and must protect it using reasonable safeguards.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Exceptions and Term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Exceptions: information already public through no breach, independently developed without use of confidential information, or lawfully received from a third party.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Confidentiality continues until information becomes public through no breach, with trade secrets protected as long as they remain trade secrets.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29"/>
          <w:footerReference w:type="default" r:id="rId3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12. Founder Service / Employment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Founder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Set founder duties, compensation, confidentiality, IP, and termination basics.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Position: [Founder/CEO/CTO]. Reporting: Board of Directors. Start date: [insert]. Compensation: INR [insert] per month or deferred until board approval.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Duties include strategy, hiring, product, technology, fundraising, partnerships, compliance, and any duties assigned by the Board.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Founder will comply with company policies, protect confidential information, assign company IP, avoid conflicts, and return company property on termination.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Termination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Termination, notice, garden leave, severance, equity treatment, and access removal should align with the founder agreement and board approvals.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31"/>
          <w:footerReference w:type="default" r:id="rId3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13. Founder Vesting and Reverse Vesting Term Sheet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Founder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Capture founder equity vesting principles before definitive agreements.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 Sheet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Vesting schedule: [four years with one-year cliff / custom]. Commencement: [date]. Reverse vesting applies to founder shares subject to company repurchase on departure.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Good leaver: [death, disability, termination without cause, board-approved reason]. Bad leaver: [fraud, misconduct, IP breach, confidentiality breach, competing business, resignation before cliff].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Acceleration: [none/single-trigger/double-trigger] to be approved by shareholders/investors if applicable.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Implementation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Definitive documents may include shareholders agreement, employment/service agreement, share transfer restrictions, Articles amendments, and board/shareholder approvals.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33"/>
          <w:footerReference w:type="default" r:id="rId3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14. Conflict of Interest and Related Party Disclosure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Founder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Capture founder/director conflicts and related party transactions.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Disclosure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Discloser: [name]. Role: [director/founder/employee]. I disclose the following direct or indirect interests, affiliations, investments, contracts, family relationships, or competing activities that may affect company decisions: [insert].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 will update this disclosure promptly when circumstances change and will abstain from decisions where required.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Board Action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Board review outcome: [approved/approved with conditions/not approved]. Conditions: [insert].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35"/>
          <w:footerReference w:type="default" r:id="rId3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15. Investor Confidentiality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Investor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Protect company information shared during fundraising or diligence.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Recipient will use confidential information solely to evaluate a potential investment, strategic partnership, or financing transaction with [company].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Recipient may share information only with representatives who need to know and are bound by confidentiality duties.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No license is granted to patents, designs, source code, trade secrets, brand assets, data, or other IP.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Return and Remedies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On request, recipient will return or destroy confidential materials except archival/legal retention copies. Company may seek injunctive relief for breach.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37"/>
          <w:footerReference w:type="default" r:id="rId3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16. Seed Investment Term Sheet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Investor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Summarize key commercial terms before definitive investment documents.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Indicative 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Issuer: [company]. Investor: [name]. Instrument: [equity/CCPS/CCD/SAFE-like contractual instrument subject to Indian law review]. Investment amount: INR [insert]. Valuation/cap: [insert].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Use of proceeds: product development, FPGA prototypes, team hiring, IP filings, compliance, pilots, and working capital.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Rights: information rights, reserved matters, pro-rata rights, board observer/director rights, transfer restrictions, anti-dilution, liquidation preference, founder vesting, ESOP pool, and warranties.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Status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Non-binding except confidentiality, exclusivity, costs, governing law, and dispute resolution if stated as binding.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39"/>
          <w:footerReference w:type="default" r:id="rId4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17. Share Subscription Agreement - Key Template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Investor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Provide a working skeleton for subscription of shares/securities.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Core Clauses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Investor subscribes for [number/class] securities at INR [price] per security, subject to conditions precedent, board/shareholder approvals, valuation report if applicable, filings, and receipt of funds.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Company warranties: incorporation, authority, capitalization, IP ownership, no undisclosed debt, compliance, tax filings, litigation, employment, data protection, and contracts.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Investor warranties: authority, funds, compliance with applicable laws, KYC, beneficial ownership, and investment intent.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Completion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At closing: funds received, securities allotted, share certificates/records issued, registers updated, filings completed, and closing deliverables exchanged.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41"/>
          <w:footerReference w:type="default" r:id="rId4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18. Shareholders Agreement - Key Template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Investor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Set governance and economic rights between founders, investors, and company.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Governance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Board composition, quorum, reserved matters, information rights, budgets, audit, related party transactions, founder commitments, and compliance obligations.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Transfer restrictions: right of first refusal, right of first offer, tag-along, drag-along, permitted transfers, lock-in, and prohibited transfers.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Economic rights: liquidation preference, anti-dilution, conversion, dividends, exit rights, pre-emptive rights, and ESOP pool management.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Company Protection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Founder IP assignment, confidentiality, non-solicit, conflict restrictions, data/security duties, and return of property.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43"/>
          <w:footerReference w:type="default" r:id="rId4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19. Convertible Preference Share / Convertible Instrument Term Sheet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Investor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Outline a possible India-reviewed convertible financing structure.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Instrument: [CCPS/CCD/other counsel-approved instrument]. Principal/subscription amount: INR [insert]. Conversion trigger: qualified financing, long-stop date, acquisition, IPO, or voluntary conversion.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Conversion price: [valuation cap/discount/fixed price] subject to applicable law, valuation, pricing guidelines, tax, foreign investment rules, and Articles authorization.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Investor protections: information rights, reserved matters, transfer rights, liquidation preference, anti-dilution, and dispute resolution.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Compliance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Do not issue until counsel confirms Companies Act, FEMA/FDI, tax, valuation, stamp duty, and filing requirements.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45"/>
          <w:footerReference w:type="default" r:id="rId4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20. ESOP Scheme and Grant Letter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Investor / Employee Equity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 an employee stock option framework and grant template.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Scheme 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Pool size: [percentage/number]. Eligibility: employees/directors/consultants as permitted by law and scheme terms. Vesting: [schedule], with minimum vesting and approval requirements confirmed by counsel.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Exercise price, exercise period, lapse, resignation, termination, death/disability, transfer restrictions, tax withholding, administration, disclosures, and register maintenance must be specified.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Grant Letter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Grantee: [name]. Options: [number]. Grant date: [date]. Vesting commencement: [date]. Exercise price: INR [insert]. Acceptance deadline: [date].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This grant is subject to the ESOP scheme, board/shareholder approvals, applicable law, and continued service.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47"/>
          <w:footerReference w:type="default" r:id="rId4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21. Employee Offer Letter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Employee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Issue a pre-joining employment offer.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Offer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Dear [candidate], we are pleased to offer you the position of [title] at [company], reporting to [manager], with proposed start date [date] and work location [location/remote].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Compensation: fixed salary INR [insert] per annum, variable/bonus [insert], benefits [insert], equity eligibility [if any, subject to ESOP approvals].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This offer is conditional on background verification, identity/right-to-work checks, execution of appointment letter, IP assignment, confidentiality agreement, and company policies.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Acceptance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Please sign and return by [date]. This offer does not create employment until joining formalities are completed and the appointment letter is executed.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49"/>
          <w:footerReference w:type="default" r:id="rId5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22. Appointment Letter / Employment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Employee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Set core employment terms after acceptance.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Employee: [name]. Position: [title]. Start date: [date]. Probation: [period]. Work location: [insert]. Reporting manager: [insert]. Hours and leave: as per company policy and applicable law.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Duties: perform assigned responsibilities, comply with policies, protect company property and confidential information, assign IP, avoid conflicts, and follow security procedures.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Termination: notice period [insert], immediate termination for cause, return of property, final settlement, confidentiality survival, and post-employment restrictions where enforceable.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Policies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Employee acknowledges receipt of handbook, IT/security policy, anti-harassment policy, privacy notice, expense policy, and IP/confidentiality obligations.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51"/>
          <w:footerReference w:type="default" r:id="rId5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23. Employee Invention and IP Assignment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Employee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Assign employee-created work product and inventions to the company.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Assignment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Employee assigns to [company] all work product, inventions, designs, code, schematics, documents, data, models, processes, trade secrets, and improvements created within employment scope or using company resources.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Employee will promptly disclose inventions and assist with registrations, patent filings, prosecution, enforcement, and execution of further documents.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Excluded prior inventions must be listed in Schedule A before employment begins.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Open Source and Third-Party Materials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Employee may not introduce third-party code, datasets, designs, or open-source components into company work without approval and license review.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53"/>
          <w:footerReference w:type="default" r:id="rId5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24. Employee Confidentiality and Data Security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Employee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Protect technical, commercial, and personal data handled by employees.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Obligations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Employee will protect confidential information, use company systems securely, follow access controls, report incidents promptly, and not remove or disclose data except for authorized company purposes.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Special categories: medical prototypes, biosignal data, radar data, embedded system designs, vendor terms, customer data, investor materials, source code, chip architecture documents, and security credentials.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Return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On request or termination, employee will return devices, documents, credentials, notes, source material, and copies, and certify deletion from personal devices where required.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55"/>
          <w:footerReference w:type="default" r:id="rId5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25. Employee Handbook Core Policies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Employee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Provide a starter handbook with basic policies.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Policies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Code of conduct: integrity, lawful conduct, respectful workplace, confidentiality, accurate records, anti-bribery, no unauthorized public statements, and conflict disclosure.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Workplace: attendance, remote work, leave, reimbursement, travel, device use, information security, acceptable use, open-source review, procurement, and expense approvals.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People: equal opportunity, anti-harassment, grievance reporting, performance reviews, disciplinary process, and separation process.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Acknowledgement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Employee acknowledges that policies may be amended and that local law, employment contract, and mandatory statutory rights prevail over handbook language.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57"/>
          <w:footerReference w:type="default" r:id="rId5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26. Anti-Harassment, POSH, and Grievance Policy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Employee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 a baseline workplace conduct and complaint framework.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Policy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 company prohibits sexual harassment, discrimination, retaliation, bullying, intimidation, and abusive conduct in the workplace, online channels, events, travel, and remote work.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Complaints may be made to [email/person]. The company will treat complaints sensitively, prohibit retaliation, conduct a fair inquiry, and take appropriate action.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If statutory POSH committee requirements apply, the company will constitute and maintain the Internal Committee, notices, training, and records as required.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Acknowledgement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All employees, consultants, interns, founders, directors, and visitors must comply with this policy.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59"/>
          <w:footerReference w:type="default" r:id="rId6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27. Consultant / Advisor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Operations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Engage contractors, advisors, and technical consultants cleanly.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Consultant: [name]. Services: [scope]. Term: [dates]. Fees: INR [amount]/[milestone]. Expenses: [approval process]. Relationship: independent contractor, not employee.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Deliverables and work product are assigned to the company upon creation/payment as specified. Consultant must maintain confidentiality, avoid conflicts, and comply with company security rules.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Consultant will not bind the company, hire staff, incur expenses, or make public statements without written authorization.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Termination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Either party may terminate with [notice]. Company may terminate immediately for breach, misconduct, confidentiality/IP breach, or security risk.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61"/>
          <w:footerReference w:type="default" r:id="rId6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28. Vendor / Services Agreement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Operations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 a basic procurement and vendor services template.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Vendor will provide [services/products] under [SOW/PO]. Fees, taxes, payment terms, milestones, acceptance criteria, warranties, support, and service levels are set out in Schedule A.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Vendor must protect confidential information, comply with security requirements, process personal data only on instructions if applicable, and maintain required licenses.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IP ownership: company-owned deliverables belong to company; vendor background IP remains vendor property but company receives necessary license.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Risk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Include indemnity, limitation of liability, insurance, audit rights, termination rights, and transition assistance based on deal risk.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63"/>
          <w:footerReference w:type="default" r:id="rId6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29. Website Terms of Use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Public / Website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Set public website terms for visitors.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Terms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 website provides general information about Esthien Labs. No product, medical, automotive safety, investment, employment, or technical advice is provided through the website.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Visitors may not misuse the site, probe security, copy brand assets without permission, scrape content excessively, submit unlawful material, or imply endorsement.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All content, brand assets, logos, text, diagrams, and visual systems are owned by or licensed to the company.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Disclaimers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The site is provided as-is. Company may change content, restrict access, or update terms. Governing law and jurisdiction: [insert].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p>
      <w:pPr>
        <w:sectPr>
          <w:headerReference w:type="default" r:id="rId65"/>
          <w:footerReference w:type="default" r:id="rId6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30. Privacy Policy and Data Processing Notice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Category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Public / Website Documents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Create a starter privacy notice for website and business inquiries.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- legal review required before use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Notice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Data collected: name, email, organization, inquiry content, social profile interactions, website analytics, security logs, and any information voluntarily provided.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Purposes: respond to inquiries, manage partnerships, investor conversations, recruitment, security, legal compliance, analytics, and business operations.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Rights and requests: contact [privacy@esthien.com/contact@esthien.com]. The company will respond as required by applicable law.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Controls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1"/>
        </w:rPr>
        <w:t>Maintain data inventory, access controls, retention schedule, breach response process, vendor processing terms, and privacy policy review cadence.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Execution Block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Approved by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[Board / shareholders / authorized signatory / employee / counterparty]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Signature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[name, designation, date, place]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Record owner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[Founder / HR / Company Secretary / Legal / Finance]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/>
                <w:color w:val="0A0D10"/>
                <w:sz w:val="20"/>
              </w:rPr>
              <w:t>Review note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Draft template only. This document is not legal advice, is not a statutory filing, and should be reviewed by an India-qualified advocate/company secretary/tax advisor before signature, issuance, board approval, or filing.</w:t>
            </w:r>
          </w:p>
        </w:tc>
      </w:tr>
    </w:tbl>
    <w:p/>
    <w:sectPr w:rsidR="00FC693F" w:rsidRPr="0006063C" w:rsidSect="00034616">
      <w:headerReference w:type="default" r:id="rId67"/>
      <w:footerReference w:type="default" r:id="rId6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C63"/>
        <w:sz w:val="17"/>
      </w:rPr>
      <w:t>Confidential template - review before use - contact@esthien.com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D8"/>
      </w:pBdr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sthien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b/>
        <w:color w:val="0A0D10"/>
        <w:sz w:val="18"/>
      </w:rPr>
      <w:t>ESTHIEN LABS</w:t>
    </w:r>
    <w:r>
      <w:rPr>
        <w:rFonts w:ascii="Calibri" w:hAnsi="Calibri"/>
        <w:color w:val="4A5C63"/>
        <w:sz w:val="18"/>
      </w:rPr>
      <w:t xml:space="preserve">  |  Legal Foundation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