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rPr>
        <w:id w:val="-1112977320"/>
        <w:docPartObj>
          <w:docPartGallery w:val="Table of Contents"/>
          <w:docPartUnique/>
        </w:docPartObj>
      </w:sdtPr>
      <w:sdtEndPr>
        <w:rPr>
          <w:b/>
          <w:bCs/>
          <w:noProof/>
        </w:rPr>
      </w:sdtEndPr>
      <w:sdtContent>
        <w:p w:rsidR="00E40479" w:rsidRDefault="00E40479">
          <w:pPr>
            <w:pStyle w:val="TOCHeading"/>
          </w:pPr>
          <w:r>
            <w:t>Contents</w:t>
          </w:r>
        </w:p>
        <w:p w:rsidR="006F442E" w:rsidRDefault="00E40479">
          <w:pPr>
            <w:pStyle w:val="TOC1"/>
            <w:tabs>
              <w:tab w:val="left" w:pos="440"/>
              <w:tab w:val="right" w:leader="dot" w:pos="10094"/>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27862387" w:history="1">
            <w:r w:rsidR="006F442E" w:rsidRPr="003B084D">
              <w:rPr>
                <w:rStyle w:val="Hyperlink"/>
                <w:noProof/>
              </w:rPr>
              <w:t>1.</w:t>
            </w:r>
            <w:r w:rsidR="006F442E">
              <w:rPr>
                <w:rFonts w:eastAsiaTheme="minorEastAsia"/>
                <w:noProof/>
              </w:rPr>
              <w:tab/>
            </w:r>
            <w:r w:rsidR="006F442E" w:rsidRPr="003B084D">
              <w:rPr>
                <w:rStyle w:val="Hyperlink"/>
                <w:noProof/>
              </w:rPr>
              <w:t>Architecture overview and key design decisions</w:t>
            </w:r>
            <w:r w:rsidR="006F442E">
              <w:rPr>
                <w:noProof/>
                <w:webHidden/>
              </w:rPr>
              <w:tab/>
            </w:r>
            <w:r w:rsidR="006F442E">
              <w:rPr>
                <w:noProof/>
                <w:webHidden/>
              </w:rPr>
              <w:fldChar w:fldCharType="begin"/>
            </w:r>
            <w:r w:rsidR="006F442E">
              <w:rPr>
                <w:noProof/>
                <w:webHidden/>
              </w:rPr>
              <w:instrText xml:space="preserve"> PAGEREF _Toc227862387 \h </w:instrText>
            </w:r>
            <w:r w:rsidR="006F442E">
              <w:rPr>
                <w:noProof/>
                <w:webHidden/>
              </w:rPr>
            </w:r>
            <w:r w:rsidR="006F442E">
              <w:rPr>
                <w:noProof/>
                <w:webHidden/>
              </w:rPr>
              <w:fldChar w:fldCharType="separate"/>
            </w:r>
            <w:r w:rsidR="006F442E">
              <w:rPr>
                <w:noProof/>
                <w:webHidden/>
              </w:rPr>
              <w:t>2</w:t>
            </w:r>
            <w:r w:rsidR="006F442E">
              <w:rPr>
                <w:noProof/>
                <w:webHidden/>
              </w:rPr>
              <w:fldChar w:fldCharType="end"/>
            </w:r>
          </w:hyperlink>
        </w:p>
        <w:p w:rsidR="006F442E" w:rsidRDefault="006F442E">
          <w:pPr>
            <w:pStyle w:val="TOC2"/>
            <w:tabs>
              <w:tab w:val="left" w:pos="880"/>
              <w:tab w:val="right" w:leader="dot" w:pos="10094"/>
            </w:tabs>
            <w:rPr>
              <w:rFonts w:eastAsiaTheme="minorEastAsia"/>
              <w:noProof/>
            </w:rPr>
          </w:pPr>
          <w:hyperlink w:anchor="_Toc227862388" w:history="1">
            <w:r w:rsidRPr="003B084D">
              <w:rPr>
                <w:rStyle w:val="Hyperlink"/>
                <w:noProof/>
              </w:rPr>
              <w:t>1.1.</w:t>
            </w:r>
            <w:r>
              <w:rPr>
                <w:rFonts w:eastAsiaTheme="minorEastAsia"/>
                <w:noProof/>
              </w:rPr>
              <w:tab/>
            </w:r>
            <w:r w:rsidRPr="003B084D">
              <w:rPr>
                <w:rStyle w:val="Hyperlink"/>
                <w:noProof/>
              </w:rPr>
              <w:t>Architecture Overview</w:t>
            </w:r>
            <w:r>
              <w:rPr>
                <w:noProof/>
                <w:webHidden/>
              </w:rPr>
              <w:tab/>
            </w:r>
            <w:r>
              <w:rPr>
                <w:noProof/>
                <w:webHidden/>
              </w:rPr>
              <w:fldChar w:fldCharType="begin"/>
            </w:r>
            <w:r>
              <w:rPr>
                <w:noProof/>
                <w:webHidden/>
              </w:rPr>
              <w:instrText xml:space="preserve"> PAGEREF _Toc227862388 \h </w:instrText>
            </w:r>
            <w:r>
              <w:rPr>
                <w:noProof/>
                <w:webHidden/>
              </w:rPr>
            </w:r>
            <w:r>
              <w:rPr>
                <w:noProof/>
                <w:webHidden/>
              </w:rPr>
              <w:fldChar w:fldCharType="separate"/>
            </w:r>
            <w:r>
              <w:rPr>
                <w:noProof/>
                <w:webHidden/>
              </w:rPr>
              <w:t>2</w:t>
            </w:r>
            <w:r>
              <w:rPr>
                <w:noProof/>
                <w:webHidden/>
              </w:rPr>
              <w:fldChar w:fldCharType="end"/>
            </w:r>
          </w:hyperlink>
        </w:p>
        <w:p w:rsidR="006F442E" w:rsidRDefault="006F442E">
          <w:pPr>
            <w:pStyle w:val="TOC2"/>
            <w:tabs>
              <w:tab w:val="left" w:pos="880"/>
              <w:tab w:val="right" w:leader="dot" w:pos="10094"/>
            </w:tabs>
            <w:rPr>
              <w:rFonts w:eastAsiaTheme="minorEastAsia"/>
              <w:noProof/>
            </w:rPr>
          </w:pPr>
          <w:hyperlink w:anchor="_Toc227862389" w:history="1">
            <w:r w:rsidRPr="003B084D">
              <w:rPr>
                <w:rStyle w:val="Hyperlink"/>
                <w:noProof/>
              </w:rPr>
              <w:t>1.2.</w:t>
            </w:r>
            <w:r>
              <w:rPr>
                <w:rFonts w:eastAsiaTheme="minorEastAsia"/>
                <w:noProof/>
              </w:rPr>
              <w:tab/>
            </w:r>
            <w:r w:rsidRPr="003B084D">
              <w:rPr>
                <w:rStyle w:val="Hyperlink"/>
                <w:noProof/>
              </w:rPr>
              <w:t>Key Design Decisions</w:t>
            </w:r>
            <w:r>
              <w:rPr>
                <w:noProof/>
                <w:webHidden/>
              </w:rPr>
              <w:tab/>
            </w:r>
            <w:r>
              <w:rPr>
                <w:noProof/>
                <w:webHidden/>
              </w:rPr>
              <w:fldChar w:fldCharType="begin"/>
            </w:r>
            <w:r>
              <w:rPr>
                <w:noProof/>
                <w:webHidden/>
              </w:rPr>
              <w:instrText xml:space="preserve"> PAGEREF _Toc227862389 \h </w:instrText>
            </w:r>
            <w:r>
              <w:rPr>
                <w:noProof/>
                <w:webHidden/>
              </w:rPr>
            </w:r>
            <w:r>
              <w:rPr>
                <w:noProof/>
                <w:webHidden/>
              </w:rPr>
              <w:fldChar w:fldCharType="separate"/>
            </w:r>
            <w:r>
              <w:rPr>
                <w:noProof/>
                <w:webHidden/>
              </w:rPr>
              <w:t>3</w:t>
            </w:r>
            <w:r>
              <w:rPr>
                <w:noProof/>
                <w:webHidden/>
              </w:rPr>
              <w:fldChar w:fldCharType="end"/>
            </w:r>
          </w:hyperlink>
        </w:p>
        <w:p w:rsidR="006F442E" w:rsidRDefault="006F442E">
          <w:pPr>
            <w:pStyle w:val="TOC1"/>
            <w:tabs>
              <w:tab w:val="left" w:pos="440"/>
              <w:tab w:val="right" w:leader="dot" w:pos="10094"/>
            </w:tabs>
            <w:rPr>
              <w:rFonts w:eastAsiaTheme="minorEastAsia"/>
              <w:noProof/>
            </w:rPr>
          </w:pPr>
          <w:hyperlink w:anchor="_Toc227862390" w:history="1">
            <w:r w:rsidRPr="003B084D">
              <w:rPr>
                <w:rStyle w:val="Hyperlink"/>
                <w:noProof/>
              </w:rPr>
              <w:t>2.</w:t>
            </w:r>
            <w:r>
              <w:rPr>
                <w:rFonts w:eastAsiaTheme="minorEastAsia"/>
                <w:noProof/>
              </w:rPr>
              <w:tab/>
            </w:r>
            <w:r w:rsidRPr="003B084D">
              <w:rPr>
                <w:rStyle w:val="Hyperlink"/>
                <w:noProof/>
              </w:rPr>
              <w:t>Production Stack Status</w:t>
            </w:r>
            <w:r>
              <w:rPr>
                <w:noProof/>
                <w:webHidden/>
              </w:rPr>
              <w:tab/>
            </w:r>
            <w:r>
              <w:rPr>
                <w:noProof/>
                <w:webHidden/>
              </w:rPr>
              <w:fldChar w:fldCharType="begin"/>
            </w:r>
            <w:r>
              <w:rPr>
                <w:noProof/>
                <w:webHidden/>
              </w:rPr>
              <w:instrText xml:space="preserve"> PAGEREF _Toc227862390 \h </w:instrText>
            </w:r>
            <w:r>
              <w:rPr>
                <w:noProof/>
                <w:webHidden/>
              </w:rPr>
            </w:r>
            <w:r>
              <w:rPr>
                <w:noProof/>
                <w:webHidden/>
              </w:rPr>
              <w:fldChar w:fldCharType="separate"/>
            </w:r>
            <w:r>
              <w:rPr>
                <w:noProof/>
                <w:webHidden/>
              </w:rPr>
              <w:t>3</w:t>
            </w:r>
            <w:r>
              <w:rPr>
                <w:noProof/>
                <w:webHidden/>
              </w:rPr>
              <w:fldChar w:fldCharType="end"/>
            </w:r>
          </w:hyperlink>
        </w:p>
        <w:p w:rsidR="006F442E" w:rsidRDefault="006F442E">
          <w:pPr>
            <w:pStyle w:val="TOC1"/>
            <w:tabs>
              <w:tab w:val="left" w:pos="440"/>
              <w:tab w:val="right" w:leader="dot" w:pos="10094"/>
            </w:tabs>
            <w:rPr>
              <w:rFonts w:eastAsiaTheme="minorEastAsia"/>
              <w:noProof/>
            </w:rPr>
          </w:pPr>
          <w:hyperlink w:anchor="_Toc227862391" w:history="1">
            <w:r w:rsidRPr="003B084D">
              <w:rPr>
                <w:rStyle w:val="Hyperlink"/>
                <w:noProof/>
              </w:rPr>
              <w:t>3.</w:t>
            </w:r>
            <w:r>
              <w:rPr>
                <w:rFonts w:eastAsiaTheme="minorEastAsia"/>
                <w:noProof/>
              </w:rPr>
              <w:tab/>
            </w:r>
            <w:r w:rsidRPr="003B084D">
              <w:rPr>
                <w:rStyle w:val="Hyperlink"/>
                <w:noProof/>
              </w:rPr>
              <w:t>Enrichment Pipeline Status</w:t>
            </w:r>
            <w:r>
              <w:rPr>
                <w:noProof/>
                <w:webHidden/>
              </w:rPr>
              <w:tab/>
            </w:r>
            <w:r>
              <w:rPr>
                <w:noProof/>
                <w:webHidden/>
              </w:rPr>
              <w:fldChar w:fldCharType="begin"/>
            </w:r>
            <w:r>
              <w:rPr>
                <w:noProof/>
                <w:webHidden/>
              </w:rPr>
              <w:instrText xml:space="preserve"> PAGEREF _Toc227862391 \h </w:instrText>
            </w:r>
            <w:r>
              <w:rPr>
                <w:noProof/>
                <w:webHidden/>
              </w:rPr>
            </w:r>
            <w:r>
              <w:rPr>
                <w:noProof/>
                <w:webHidden/>
              </w:rPr>
              <w:fldChar w:fldCharType="separate"/>
            </w:r>
            <w:r>
              <w:rPr>
                <w:noProof/>
                <w:webHidden/>
              </w:rPr>
              <w:t>4</w:t>
            </w:r>
            <w:r>
              <w:rPr>
                <w:noProof/>
                <w:webHidden/>
              </w:rPr>
              <w:fldChar w:fldCharType="end"/>
            </w:r>
          </w:hyperlink>
        </w:p>
        <w:p w:rsidR="006F442E" w:rsidRDefault="006F442E">
          <w:pPr>
            <w:pStyle w:val="TOC1"/>
            <w:tabs>
              <w:tab w:val="left" w:pos="440"/>
              <w:tab w:val="right" w:leader="dot" w:pos="10094"/>
            </w:tabs>
            <w:rPr>
              <w:rFonts w:eastAsiaTheme="minorEastAsia"/>
              <w:noProof/>
            </w:rPr>
          </w:pPr>
          <w:hyperlink w:anchor="_Toc227862392" w:history="1">
            <w:r w:rsidRPr="003B084D">
              <w:rPr>
                <w:rStyle w:val="Hyperlink"/>
                <w:noProof/>
              </w:rPr>
              <w:t>4.</w:t>
            </w:r>
            <w:r>
              <w:rPr>
                <w:rFonts w:eastAsiaTheme="minorEastAsia"/>
                <w:noProof/>
              </w:rPr>
              <w:tab/>
            </w:r>
            <w:r w:rsidRPr="003B084D">
              <w:rPr>
                <w:rStyle w:val="Hyperlink"/>
                <w:noProof/>
              </w:rPr>
              <w:t>Competitor Gap Brief Status</w:t>
            </w:r>
            <w:r>
              <w:rPr>
                <w:noProof/>
                <w:webHidden/>
              </w:rPr>
              <w:tab/>
            </w:r>
            <w:r>
              <w:rPr>
                <w:noProof/>
                <w:webHidden/>
              </w:rPr>
              <w:fldChar w:fldCharType="begin"/>
            </w:r>
            <w:r>
              <w:rPr>
                <w:noProof/>
                <w:webHidden/>
              </w:rPr>
              <w:instrText xml:space="preserve"> PAGEREF _Toc227862392 \h </w:instrText>
            </w:r>
            <w:r>
              <w:rPr>
                <w:noProof/>
                <w:webHidden/>
              </w:rPr>
            </w:r>
            <w:r>
              <w:rPr>
                <w:noProof/>
                <w:webHidden/>
              </w:rPr>
              <w:fldChar w:fldCharType="separate"/>
            </w:r>
            <w:r>
              <w:rPr>
                <w:noProof/>
                <w:webHidden/>
              </w:rPr>
              <w:t>4</w:t>
            </w:r>
            <w:r>
              <w:rPr>
                <w:noProof/>
                <w:webHidden/>
              </w:rPr>
              <w:fldChar w:fldCharType="end"/>
            </w:r>
          </w:hyperlink>
        </w:p>
        <w:p w:rsidR="006F442E" w:rsidRDefault="006F442E">
          <w:pPr>
            <w:pStyle w:val="TOC1"/>
            <w:tabs>
              <w:tab w:val="left" w:pos="440"/>
              <w:tab w:val="right" w:leader="dot" w:pos="10094"/>
            </w:tabs>
            <w:rPr>
              <w:rFonts w:eastAsiaTheme="minorEastAsia"/>
              <w:noProof/>
            </w:rPr>
          </w:pPr>
          <w:hyperlink w:anchor="_Toc227862393" w:history="1">
            <w:r w:rsidRPr="003B084D">
              <w:rPr>
                <w:rStyle w:val="Hyperlink"/>
                <w:noProof/>
              </w:rPr>
              <w:t>5.</w:t>
            </w:r>
            <w:r>
              <w:rPr>
                <w:rFonts w:eastAsiaTheme="minorEastAsia"/>
                <w:noProof/>
              </w:rPr>
              <w:tab/>
            </w:r>
            <w:r w:rsidRPr="003B084D">
              <w:rPr>
                <w:rStyle w:val="Hyperlink"/>
                <w:noProof/>
              </w:rPr>
              <w:t>Current Project Status: What Is Working, What Is Not, and Plan for Remaining Days</w:t>
            </w:r>
            <w:r>
              <w:rPr>
                <w:noProof/>
                <w:webHidden/>
              </w:rPr>
              <w:tab/>
            </w:r>
            <w:r>
              <w:rPr>
                <w:noProof/>
                <w:webHidden/>
              </w:rPr>
              <w:fldChar w:fldCharType="begin"/>
            </w:r>
            <w:r>
              <w:rPr>
                <w:noProof/>
                <w:webHidden/>
              </w:rPr>
              <w:instrText xml:space="preserve"> PAGEREF _Toc227862393 \h </w:instrText>
            </w:r>
            <w:r>
              <w:rPr>
                <w:noProof/>
                <w:webHidden/>
              </w:rPr>
            </w:r>
            <w:r>
              <w:rPr>
                <w:noProof/>
                <w:webHidden/>
              </w:rPr>
              <w:fldChar w:fldCharType="separate"/>
            </w:r>
            <w:r>
              <w:rPr>
                <w:noProof/>
                <w:webHidden/>
              </w:rPr>
              <w:t>5</w:t>
            </w:r>
            <w:r>
              <w:rPr>
                <w:noProof/>
                <w:webHidden/>
              </w:rPr>
              <w:fldChar w:fldCharType="end"/>
            </w:r>
          </w:hyperlink>
        </w:p>
        <w:p w:rsidR="00E40479" w:rsidRDefault="00E40479">
          <w:r>
            <w:rPr>
              <w:b/>
              <w:bCs/>
              <w:noProof/>
            </w:rPr>
            <w:fldChar w:fldCharType="end"/>
          </w:r>
        </w:p>
      </w:sdtContent>
    </w:sdt>
    <w:p w:rsidR="005B098D" w:rsidRDefault="005B098D"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pPr>
        <w:pStyle w:val="TableofFigures"/>
        <w:tabs>
          <w:tab w:val="right" w:leader="dot" w:pos="10094"/>
        </w:tabs>
        <w:rPr>
          <w:noProof/>
        </w:rPr>
      </w:pPr>
      <w:r>
        <w:fldChar w:fldCharType="begin"/>
      </w:r>
      <w:r>
        <w:instrText xml:space="preserve"> TOC \h \z \c "Figure" </w:instrText>
      </w:r>
      <w:r>
        <w:fldChar w:fldCharType="separate"/>
      </w:r>
      <w:hyperlink w:anchor="_Toc227804066" w:history="1">
        <w:r w:rsidRPr="00F33D37">
          <w:rPr>
            <w:rStyle w:val="Hyperlink"/>
            <w:noProof/>
          </w:rPr>
          <w:t>Figure 1 SignalForge Lead generation system Architecture</w:t>
        </w:r>
        <w:r>
          <w:rPr>
            <w:noProof/>
            <w:webHidden/>
          </w:rPr>
          <w:tab/>
        </w:r>
        <w:r>
          <w:rPr>
            <w:noProof/>
            <w:webHidden/>
          </w:rPr>
          <w:fldChar w:fldCharType="begin"/>
        </w:r>
        <w:r>
          <w:rPr>
            <w:noProof/>
            <w:webHidden/>
          </w:rPr>
          <w:instrText xml:space="preserve"> PAGEREF _Toc227804066 \h </w:instrText>
        </w:r>
        <w:r>
          <w:rPr>
            <w:noProof/>
            <w:webHidden/>
          </w:rPr>
        </w:r>
        <w:r>
          <w:rPr>
            <w:noProof/>
            <w:webHidden/>
          </w:rPr>
          <w:fldChar w:fldCharType="separate"/>
        </w:r>
        <w:r>
          <w:rPr>
            <w:noProof/>
            <w:webHidden/>
          </w:rPr>
          <w:t>2</w:t>
        </w:r>
        <w:r>
          <w:rPr>
            <w:noProof/>
            <w:webHidden/>
          </w:rPr>
          <w:fldChar w:fldCharType="end"/>
        </w:r>
      </w:hyperlink>
    </w:p>
    <w:p w:rsidR="00E40479" w:rsidRDefault="00E40479" w:rsidP="005B098D">
      <w:pPr>
        <w:pStyle w:val="Default"/>
      </w:pPr>
      <w:r>
        <w:fldChar w:fldCharType="end"/>
      </w: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E40479" w:rsidRDefault="00E40479" w:rsidP="005B098D">
      <w:pPr>
        <w:pStyle w:val="Default"/>
      </w:pPr>
    </w:p>
    <w:p w:rsidR="006F442E" w:rsidRDefault="006F442E" w:rsidP="005B098D">
      <w:pPr>
        <w:pStyle w:val="Default"/>
      </w:pPr>
    </w:p>
    <w:p w:rsidR="006F442E" w:rsidRDefault="006F442E" w:rsidP="005B098D">
      <w:pPr>
        <w:pStyle w:val="Default"/>
      </w:pPr>
      <w:bookmarkStart w:id="0" w:name="_GoBack"/>
      <w:bookmarkEnd w:id="0"/>
    </w:p>
    <w:p w:rsidR="00E40479" w:rsidRDefault="00E40479" w:rsidP="005B098D">
      <w:pPr>
        <w:pStyle w:val="Default"/>
      </w:pPr>
    </w:p>
    <w:p w:rsidR="00AF48B8" w:rsidRPr="00BE02A5" w:rsidRDefault="00AF48B8" w:rsidP="00AF48B8">
      <w:pPr>
        <w:rPr>
          <w:color w:val="5B9BD5" w:themeColor="accent1"/>
          <w:sz w:val="44"/>
          <w:szCs w:val="44"/>
        </w:rPr>
      </w:pPr>
      <w:r>
        <w:rPr>
          <w:color w:val="5B9BD5" w:themeColor="accent1"/>
          <w:sz w:val="44"/>
          <w:szCs w:val="44"/>
        </w:rPr>
        <w:lastRenderedPageBreak/>
        <w:t>Signal Forge Interim</w:t>
      </w:r>
      <w:r w:rsidRPr="00BE02A5">
        <w:rPr>
          <w:color w:val="5B9BD5" w:themeColor="accent1"/>
          <w:sz w:val="44"/>
          <w:szCs w:val="44"/>
        </w:rPr>
        <w:t xml:space="preserve"> Submission</w:t>
      </w:r>
    </w:p>
    <w:p w:rsidR="00AF48B8" w:rsidRPr="002105A1" w:rsidRDefault="00AF48B8" w:rsidP="00AF48B8">
      <w:pPr>
        <w:rPr>
          <w:sz w:val="28"/>
          <w:szCs w:val="28"/>
        </w:rPr>
      </w:pPr>
      <w:r w:rsidRPr="002105A1">
        <w:rPr>
          <w:b/>
          <w:sz w:val="28"/>
          <w:szCs w:val="28"/>
        </w:rPr>
        <w:t>Submitted by:</w:t>
      </w:r>
      <w:r w:rsidRPr="002105A1">
        <w:rPr>
          <w:sz w:val="28"/>
          <w:szCs w:val="28"/>
        </w:rPr>
        <w:t xml:space="preserve"> Estifanos Teklay Amare</w:t>
      </w:r>
    </w:p>
    <w:p w:rsidR="00AF48B8" w:rsidRPr="002105A1" w:rsidRDefault="00AF48B8" w:rsidP="00AF48B8">
      <w:pPr>
        <w:rPr>
          <w:sz w:val="28"/>
          <w:szCs w:val="28"/>
        </w:rPr>
      </w:pPr>
      <w:r w:rsidRPr="002105A1">
        <w:rPr>
          <w:b/>
          <w:sz w:val="28"/>
          <w:szCs w:val="28"/>
        </w:rPr>
        <w:t>Submission Date:</w:t>
      </w:r>
      <w:r>
        <w:rPr>
          <w:sz w:val="28"/>
          <w:szCs w:val="28"/>
        </w:rPr>
        <w:t xml:space="preserve"> April </w:t>
      </w:r>
      <w:r>
        <w:rPr>
          <w:sz w:val="28"/>
          <w:szCs w:val="28"/>
        </w:rPr>
        <w:t>23</w:t>
      </w:r>
      <w:r w:rsidRPr="002105A1">
        <w:rPr>
          <w:sz w:val="28"/>
          <w:szCs w:val="28"/>
        </w:rPr>
        <w:t>, 2026</w:t>
      </w:r>
    </w:p>
    <w:p w:rsidR="00E40479" w:rsidRDefault="00AF48B8" w:rsidP="00AF48B8">
      <w:r w:rsidRPr="002105A1">
        <w:rPr>
          <w:b/>
        </w:rPr>
        <w:t>Project Repository:</w:t>
      </w:r>
      <w:r>
        <w:t xml:space="preserve"> </w:t>
      </w:r>
      <w:r w:rsidRPr="00AF48B8">
        <w:rPr>
          <w:color w:val="5B9BD5" w:themeColor="accent1"/>
        </w:rPr>
        <w:t>https://github.com/EstifanosTeklay/SignalForge.git</w:t>
      </w:r>
    </w:p>
    <w:p w:rsidR="00E40479" w:rsidRDefault="00E40479" w:rsidP="005B098D">
      <w:pPr>
        <w:pStyle w:val="Default"/>
      </w:pPr>
    </w:p>
    <w:p w:rsidR="005B098D" w:rsidRDefault="005B098D" w:rsidP="00C3697C">
      <w:pPr>
        <w:pStyle w:val="Heading1"/>
        <w:numPr>
          <w:ilvl w:val="0"/>
          <w:numId w:val="1"/>
        </w:numPr>
      </w:pPr>
      <w:bookmarkStart w:id="1" w:name="_Toc227862387"/>
      <w:r>
        <w:t>Architecture overview and key design decisions</w:t>
      </w:r>
      <w:bookmarkEnd w:id="1"/>
      <w:r>
        <w:t xml:space="preserve"> </w:t>
      </w:r>
    </w:p>
    <w:p w:rsidR="00C3697C" w:rsidRDefault="00C3697C" w:rsidP="00C3697C">
      <w:pPr>
        <w:pStyle w:val="Heading2"/>
        <w:numPr>
          <w:ilvl w:val="1"/>
          <w:numId w:val="1"/>
        </w:numPr>
      </w:pPr>
      <w:bookmarkStart w:id="2" w:name="_Toc227862388"/>
      <w:r>
        <w:t>Architecture Overview</w:t>
      </w:r>
      <w:bookmarkEnd w:id="2"/>
    </w:p>
    <w:p w:rsidR="00C3697C" w:rsidRDefault="00C3697C" w:rsidP="00C3697C">
      <w:pPr>
        <w:jc w:val="both"/>
      </w:pPr>
      <w:r>
        <w:t>SignalForge is designed as a modular outbound orchestration system that turns public-company signals into grounded outreach and then manages the prospect conversation through qualification and booking. The architecture separates deterministic enrichment from LLM-driven reasoning so that factual inputs remain traceable while narrative generation, personalization, and reply handling stay flexible. This keeps the system easier to audit, safer to operate, and more reliable for a production-style workflow.</w:t>
      </w:r>
    </w:p>
    <w:p w:rsidR="005B098D" w:rsidRPr="005B098D" w:rsidRDefault="00C3697C" w:rsidP="00C3697C">
      <w:pPr>
        <w:jc w:val="both"/>
      </w:pPr>
      <w:r>
        <w:t xml:space="preserve">At a high level, the platform ingests firmographic and market signals from </w:t>
      </w:r>
      <w:proofErr w:type="spellStart"/>
      <w:r>
        <w:t>Crunchbase</w:t>
      </w:r>
      <w:proofErr w:type="spellEnd"/>
      <w:r>
        <w:t xml:space="preserve"> ODM, </w:t>
      </w:r>
      <w:proofErr w:type="spellStart"/>
      <w:r>
        <w:t>layoffs.fyi</w:t>
      </w:r>
      <w:proofErr w:type="spellEnd"/>
      <w:r>
        <w:t xml:space="preserve">, and public job-post data, converts them into a structured </w:t>
      </w:r>
      <w:proofErr w:type="spellStart"/>
      <w:r>
        <w:t>HiringSignalBrief</w:t>
      </w:r>
      <w:proofErr w:type="spellEnd"/>
      <w:r>
        <w:t>, and passes that brief through a sequence of specialized agents. The research layer establishes evidence, the insight and messaging layers convert that evidence into prospect-facing communication, the guardrail layer checks tone and claim accuracy, and the conversation layer handles inbound replies, scheduling, and SMS escalation for warm leads. External systems including Resend, HubSpot, Cal.com, Africa’s Talking, and Langfuse complete the delivery, CRM, scheduling, and observability loop.</w:t>
      </w:r>
      <w:r>
        <w:t xml:space="preserve"> Voice is the terminal delivery channel: once a prospect reaches the QUALIFIED state, the Conversation Agent books a discovery call via Cal.com (voice), and Africa's Talking Voice API delivers automated reminders for warm leads who go quiet before the call.</w:t>
      </w:r>
    </w:p>
    <w:p w:rsidR="0030667B" w:rsidRDefault="005B098D">
      <w:r>
        <w:rPr>
          <w:noProof/>
        </w:rPr>
        <w:drawing>
          <wp:inline distT="0" distB="0" distL="0" distR="0">
            <wp:extent cx="6416040" cy="490474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png"/>
                    <pic:cNvPicPr/>
                  </pic:nvPicPr>
                  <pic:blipFill>
                    <a:blip r:embed="rId6">
                      <a:extLst>
                        <a:ext uri="{28A0092B-C50C-407E-A947-70E740481C1C}">
                          <a14:useLocalDpi xmlns:a14="http://schemas.microsoft.com/office/drawing/2010/main" val="0"/>
                        </a:ext>
                      </a:extLst>
                    </a:blip>
                    <a:stretch>
                      <a:fillRect/>
                    </a:stretch>
                  </pic:blipFill>
                  <pic:spPr>
                    <a:xfrm>
                      <a:off x="0" y="0"/>
                      <a:ext cx="6416040" cy="4904740"/>
                    </a:xfrm>
                    <a:prstGeom prst="rect">
                      <a:avLst/>
                    </a:prstGeom>
                  </pic:spPr>
                </pic:pic>
              </a:graphicData>
            </a:graphic>
          </wp:inline>
        </w:drawing>
      </w:r>
    </w:p>
    <w:p w:rsidR="00C3697C" w:rsidRDefault="00C3697C"/>
    <w:p w:rsidR="00C3697C" w:rsidRDefault="00E40479" w:rsidP="00E40479">
      <w:pPr>
        <w:pStyle w:val="Caption"/>
      </w:pPr>
      <w:bookmarkStart w:id="3" w:name="_Toc227804066"/>
      <w:r>
        <w:t xml:space="preserve">Figure </w:t>
      </w:r>
      <w:fldSimple w:instr=" SEQ Figure \* ARABIC ">
        <w:r>
          <w:rPr>
            <w:noProof/>
          </w:rPr>
          <w:t>1</w:t>
        </w:r>
      </w:fldSimple>
      <w:r>
        <w:t xml:space="preserve"> SignalForge Lead generation system Architecture</w:t>
      </w:r>
      <w:bookmarkEnd w:id="3"/>
    </w:p>
    <w:p w:rsidR="00C3697C" w:rsidRDefault="00C3697C" w:rsidP="00C3697C"/>
    <w:p w:rsidR="00C3697C" w:rsidRDefault="00C3697C" w:rsidP="00CA3D52">
      <w:pPr>
        <w:pStyle w:val="Heading2"/>
        <w:numPr>
          <w:ilvl w:val="1"/>
          <w:numId w:val="1"/>
        </w:numPr>
      </w:pPr>
      <w:bookmarkStart w:id="4" w:name="_Toc227862389"/>
      <w:r>
        <w:t>Key Design Decisions</w:t>
      </w:r>
      <w:bookmarkEnd w:id="4"/>
    </w:p>
    <w:p w:rsidR="00C3697C" w:rsidRDefault="00C3697C" w:rsidP="00C3697C"/>
    <w:p w:rsidR="00C3697C" w:rsidRDefault="00C3697C" w:rsidP="00CA3D52">
      <w:pPr>
        <w:pStyle w:val="ListParagraph"/>
        <w:numPr>
          <w:ilvl w:val="0"/>
          <w:numId w:val="2"/>
        </w:numPr>
        <w:jc w:val="both"/>
      </w:pPr>
      <w:r w:rsidRPr="00CA3D52">
        <w:rPr>
          <w:b/>
        </w:rPr>
        <w:t>Evidence-first pipeline separation:</w:t>
      </w:r>
      <w:r>
        <w:t xml:space="preserve"> Research and enrichment are deterministic and source-grounded, while LLM use is reserved for interpretation, drafting, and conversation handling. This reduces hallucination risk and makes outputs easier to defend in the report.</w:t>
      </w:r>
    </w:p>
    <w:p w:rsidR="00C3697C" w:rsidRDefault="00C3697C" w:rsidP="00C3697C">
      <w:pPr>
        <w:pStyle w:val="ListParagraph"/>
        <w:numPr>
          <w:ilvl w:val="0"/>
          <w:numId w:val="2"/>
        </w:numPr>
        <w:jc w:val="both"/>
      </w:pPr>
      <w:r w:rsidRPr="00CA3D52">
        <w:rPr>
          <w:b/>
        </w:rPr>
        <w:t>Specialized multi-agent design:</w:t>
      </w:r>
      <w:r>
        <w:t xml:space="preserve"> The system is split into Research, Insight, Message, Guardrail, and Conversation agents so each stage has a narrow responsibility. This improves maintainability, testing, and future iteration speed.</w:t>
      </w:r>
    </w:p>
    <w:p w:rsidR="00C3697C" w:rsidRDefault="00C3697C" w:rsidP="00EB1DB1">
      <w:pPr>
        <w:pStyle w:val="ListParagraph"/>
        <w:numPr>
          <w:ilvl w:val="0"/>
          <w:numId w:val="2"/>
        </w:numPr>
        <w:jc w:val="both"/>
      </w:pPr>
      <w:r w:rsidRPr="00CA3D52">
        <w:rPr>
          <w:b/>
        </w:rPr>
        <w:t>Guardrails before outbound delivery:</w:t>
      </w:r>
      <w:r>
        <w:t xml:space="preserve"> Every draft passes through a guardrail step that checks tone, unsupported claims, and bench-capacity </w:t>
      </w:r>
      <w:r w:rsidR="00CA3D52">
        <w:t>over commitment</w:t>
      </w:r>
      <w:r>
        <w:t>. This protects brand quality and reduces the chance of unsafe outbound messages.</w:t>
      </w:r>
    </w:p>
    <w:p w:rsidR="00C3697C" w:rsidRDefault="00C3697C" w:rsidP="00CA3D52">
      <w:pPr>
        <w:pStyle w:val="ListParagraph"/>
        <w:numPr>
          <w:ilvl w:val="0"/>
          <w:numId w:val="2"/>
        </w:numPr>
      </w:pPr>
      <w:r w:rsidRPr="00CA3D52">
        <w:rPr>
          <w:b/>
        </w:rPr>
        <w:t>Primary and secondary channel strategy:</w:t>
      </w:r>
      <w:r>
        <w:t xml:space="preserve"> Email is the main outbound channel through Resend, while SMS via Africa’s </w:t>
      </w:r>
      <w:r w:rsidR="00CA3D52">
        <w:t>talking</w:t>
      </w:r>
      <w:r>
        <w:t xml:space="preserve"> is intentionally limited to warm-lead scheduling scenarios. This keeps outreach aligned with the intended operating model and avoids inappropriate cold SMS use.</w:t>
      </w:r>
    </w:p>
    <w:p>
      <w:pPr>
        <w:pStyle w:val="ListParagraph"/>
        <w:numPr>
          <w:ilvl w:val="0"/>
          <w:numId w:val="2"/>
        </w:numPr>
      </w:pPr>
      <w:r>
        <w:t xml:space="preserve">Voice as the final delivery channel: The Discovery Call is a synchronous voice call booked through Cal.com once a prospect reaches the QUALIFIED state. For warm leads who go quiet after initial SMS engagement, Africa's Talking Voice API provides an automated outbound voice reminder. This closes the channel hierarchy: cold email -&gt; warm SMS -&gt; scheduled voice call, ensuring voice is reserved for earned moments rather than cold interruption.</w:t>
      </w:r>
    </w:p>
    <w:p w:rsidR="00C3697C" w:rsidRDefault="00C3697C" w:rsidP="00CA3D52">
      <w:pPr>
        <w:pStyle w:val="ListParagraph"/>
        <w:numPr>
          <w:ilvl w:val="0"/>
          <w:numId w:val="2"/>
        </w:numPr>
        <w:jc w:val="both"/>
      </w:pPr>
      <w:r w:rsidRPr="00CA3D52">
        <w:rPr>
          <w:b/>
        </w:rPr>
        <w:t>CRM-centric state tracking:</w:t>
      </w:r>
      <w:r>
        <w:t xml:space="preserve"> HubSpot is used as the system of record for contacts and engagement events, allowing enrichment metadata, replies, and booking actions to remain tied to the same prospect record.</w:t>
      </w:r>
    </w:p>
    <w:p w:rsidR="00C3697C" w:rsidRDefault="00C3697C" w:rsidP="00EB1DB1">
      <w:pPr>
        <w:pStyle w:val="ListParagraph"/>
        <w:numPr>
          <w:ilvl w:val="0"/>
          <w:numId w:val="2"/>
        </w:numPr>
        <w:jc w:val="both"/>
      </w:pPr>
      <w:r w:rsidRPr="00EB1DB1">
        <w:rPr>
          <w:b/>
        </w:rPr>
        <w:t>Operational safety via kill-switch routing:</w:t>
      </w:r>
      <w:r>
        <w:t xml:space="preserve"> Outbound email can be redirected to a sink inbox when production sending is disabled. This allows realistic testing without accidental live outreach.</w:t>
      </w:r>
    </w:p>
    <w:p w:rsidR="00C3697C" w:rsidRDefault="00C3697C" w:rsidP="00EB1DB1">
      <w:pPr>
        <w:pStyle w:val="ListParagraph"/>
        <w:numPr>
          <w:ilvl w:val="0"/>
          <w:numId w:val="2"/>
        </w:numPr>
        <w:jc w:val="both"/>
      </w:pPr>
      <w:r w:rsidRPr="00EB1DB1">
        <w:rPr>
          <w:b/>
        </w:rPr>
        <w:t>Observability built into the flow:</w:t>
      </w:r>
      <w:r>
        <w:t xml:space="preserve"> Langfuse tracing is integrated across orchestration and LLM calls so latency, generation behavior, and failures can be analyzed from real execution traces rather than anecdotal testing.</w:t>
      </w:r>
    </w:p>
    <w:p w:rsidR="00C3697C" w:rsidRDefault="00C3697C" w:rsidP="00EB1DB1">
      <w:pPr>
        <w:pStyle w:val="ListParagraph"/>
        <w:numPr>
          <w:ilvl w:val="0"/>
          <w:numId w:val="2"/>
        </w:numPr>
      </w:pPr>
      <w:r w:rsidRPr="00EB1DB1">
        <w:rPr>
          <w:b/>
        </w:rPr>
        <w:t>Graceful degradation and fallbacks:</w:t>
      </w:r>
      <w:r>
        <w:t xml:space="preserve"> Where external APIs or LLM calls fail, the system is designed to continue with deterministic fallbacks or mock-safe behavior instead of collapsing the whole pipeline.</w:t>
      </w:r>
    </w:p>
    <w:p w:rsidR="00EB1DB1" w:rsidRDefault="00EB1DB1" w:rsidP="00EB1DB1">
      <w:pPr>
        <w:pStyle w:val="Heading1"/>
        <w:numPr>
          <w:ilvl w:val="0"/>
          <w:numId w:val="1"/>
        </w:numPr>
      </w:pPr>
      <w:bookmarkStart w:id="5" w:name="_Toc227862390"/>
      <w:r>
        <w:t>Production Stack Status</w:t>
      </w:r>
      <w:bookmarkEnd w:id="5"/>
    </w:p>
    <w:p w:rsidR="00EB1DB1" w:rsidRDefault="00EB1DB1" w:rsidP="00EB1DB1">
      <w:pPr>
        <w:jc w:val="both"/>
      </w:pPr>
      <w:r>
        <w:t>The production stack has been fully wired and validated across all required external services. SignalForge is operating with Resend as the primary outbound email channel, Africa’s Talking as the secondary SMS channel for warm-lead scheduling, HubSpot Developer Sandbox as the CRM system of record, Cal.com for scheduling and booking, and Langfuse for tracing and observability. Together, these integrations cover message delivery, contact state management, booking coordination, and execution monitoring in a way that matches the intended end-to-end operating model.</w:t>
      </w:r>
    </w:p>
    <w:p w:rsidR="00EB1DB1" w:rsidRDefault="00EB1DB1" w:rsidP="00EB1DB1">
      <w:pPr>
        <w:jc w:val="both"/>
      </w:pPr>
      <w:r>
        <w:t>From an architectural standpoint, the stack is working as a connected workflow rather than a set of isolated integrations. Outbound emails are generated and sent through Resend, prospect and event data are logged into HubSpot, qualified conversations can be advanced into booked meetings through Cal.com, and SMS escalation is available through Africa’s Talking when a warm lead prefers faster scheduling coordination. At the same time, Langfuse captures traces across agent execution and LLM calls, providing visibility into latency, behavior, and failure points during live runs.</w:t>
      </w:r>
    </w:p>
    <w:p w:rsidR="00EB1DB1" w:rsidRDefault="00EB1DB1" w:rsidP="00EB1DB1">
      <w:pPr>
        <w:jc w:val="both"/>
      </w:pPr>
      <w:r>
        <w:t>Operationally, this means the system now supports the full production-style loop required for the project: initiate outreach, capture engagement, maintain prospect state, move qualified leads into scheduling, and monitor the pipeline through trace logs. With the stack verification completed, the main remaining work is no longer service connectivity, but measuring performance quality, documenting known gaps, and improving execution reliability over the remaining project timeline.</w:t>
      </w:r>
    </w:p>
    <w:p w:rsidR="00EB1DB1" w:rsidRDefault="00EB1DB1" w:rsidP="00EB1DB1">
      <w:r>
        <w:t>Completed Stack Verification</w:t>
      </w:r>
    </w:p>
    <w:p w:rsidR="00EB1DB1" w:rsidRDefault="00EB1DB1" w:rsidP="00EB1DB1">
      <w:pPr>
        <w:pStyle w:val="ListParagraph"/>
        <w:numPr>
          <w:ilvl w:val="0"/>
          <w:numId w:val="3"/>
        </w:numPr>
      </w:pPr>
      <w:r>
        <w:t>Resend is verified as the primary email delivery channel for outbound and reply-thread workflows.</w:t>
      </w:r>
    </w:p>
    <w:p w:rsidR="00EB1DB1" w:rsidRDefault="00EB1DB1" w:rsidP="00EB1DB1">
      <w:pPr>
        <w:pStyle w:val="ListParagraph"/>
        <w:numPr>
          <w:ilvl w:val="0"/>
          <w:numId w:val="3"/>
        </w:numPr>
      </w:pPr>
      <w:r>
        <w:t>Africa’s Talking is verified as the secondary SMS channel used only for warm-lead scheduling and follow-up coordination.</w:t>
      </w:r>
    </w:p>
    <w:p w:rsidR="00EB1DB1" w:rsidRDefault="00EB1DB1" w:rsidP="00EB1DB1">
      <w:pPr>
        <w:pStyle w:val="ListParagraph"/>
        <w:numPr>
          <w:ilvl w:val="0"/>
          <w:numId w:val="3"/>
        </w:numPr>
      </w:pPr>
      <w:r>
        <w:t>HubSpot Developer Sandbox is verified for contact upset, enrichment-field persistence, and activity logging.</w:t>
      </w:r>
    </w:p>
    <w:p w:rsidR="00EB1DB1" w:rsidRDefault="00EB1DB1" w:rsidP="00EB1DB1">
      <w:pPr>
        <w:pStyle w:val="ListParagraph"/>
        <w:numPr>
          <w:ilvl w:val="0"/>
          <w:numId w:val="3"/>
        </w:numPr>
      </w:pPr>
      <w:r>
        <w:t>Cal.com is verified for slot retrieval and discovery-call booking flow.</w:t>
      </w:r>
    </w:p>
    <w:p w:rsidR="00EB1DB1" w:rsidRDefault="00EB1DB1" w:rsidP="00EB1DB1">
      <w:pPr>
        <w:pStyle w:val="ListParagraph"/>
        <w:numPr>
          <w:ilvl w:val="0"/>
          <w:numId w:val="3"/>
        </w:numPr>
      </w:pPr>
      <w:r>
        <w:lastRenderedPageBreak/>
        <w:t>Langfuse is verified for end-to-end tracing, including agent and LLM execution observability.</w:t>
      </w:r>
    </w:p>
    <w:p>
      <w:pPr>
        <w:pStyle w:val="Normal"/>
      </w:pPr>
      <w:r>
        <w:t xml:space="preserve">Verification Evidence: Each component has been exercised through direct code execution and produces observable output. Resend: a pipeline smoke-test for company Wit.ai (run ID wit.ai_1776892244) called Resend.Emails.send() and returned a delivery confirmation; test emails are routed to the sink inbox via OUTBOUND_ENABLED=false, with the run artifact saved at outputs/wit.ai_1776892244_hiring_signal_brief.json. HubSpot: crm_handler.py upsert_contact() and log_email_event() were called against the Developer Sandbox (EU region, key pat-eu1-cacf315d) and returned a live contact ID with enrichment fields populated. Cal.com: calendar_handler.py get_slots() returned a valid availability payload against the live API (event type ID=1); book_discovery_call() was tested with a synthetic prospect record. Africa's Talking: sms_handler.py exercised in AT sandbox mode (username=sandbox); outbound SMS returned MessageData: Success. Langfuse: all 150 tau2-Bench runs were traced end-to-end (project key pk-lf-52611b83, cloud.langfuse.com); total cost USD 2.73, latency p50 21.7 s and p95 30.2 s across 150 executions are recorded in eval/score_log.json.</w:t>
      </w:r>
    </w:p>
    <w:p w:rsidR="00EB1DB1" w:rsidRDefault="00EB1DB1" w:rsidP="00EB1DB1">
      <w:pPr>
        <w:pStyle w:val="Heading1"/>
        <w:numPr>
          <w:ilvl w:val="0"/>
          <w:numId w:val="1"/>
        </w:numPr>
      </w:pPr>
      <w:bookmarkStart w:id="6" w:name="_Toc227862391"/>
      <w:r>
        <w:t>Enrichment Pipeline Status</w:t>
      </w:r>
      <w:bookmarkEnd w:id="6"/>
    </w:p>
    <w:p w:rsidR="00EB1DB1" w:rsidRDefault="00EB1DB1" w:rsidP="00E65DB5">
      <w:pPr>
        <w:jc w:val="both"/>
      </w:pPr>
      <w:r>
        <w:t xml:space="preserve">The enrichment pipeline is fully implemented and producing structured output across the required signal categories. SignalForge begins enrichment by loading firmographic, funding, industry, leadership, and technology data from the </w:t>
      </w:r>
      <w:proofErr w:type="spellStart"/>
      <w:r>
        <w:t>Crunchbase</w:t>
      </w:r>
      <w:proofErr w:type="spellEnd"/>
      <w:r>
        <w:t xml:space="preserve"> ODM export, then augments that base record with layoffs data from </w:t>
      </w:r>
      <w:proofErr w:type="spellStart"/>
      <w:r>
        <w:t>layoffs.fyi</w:t>
      </w:r>
      <w:proofErr w:type="spellEnd"/>
      <w:r>
        <w:t xml:space="preserve"> and public hiring signals from job-post scraping. These source inputs are normalized into a single company record before being passed into the deterministic scoring layer.</w:t>
      </w:r>
    </w:p>
    <w:p w:rsidR="00EB1DB1" w:rsidRDefault="00EB1DB1" w:rsidP="00E65DB5">
      <w:pPr>
        <w:jc w:val="both"/>
      </w:pPr>
      <w:r>
        <w:t>From that unified record, the pipeline computes the required downstream signals: firmographic context, job-post activity, layoff detection, leadership-change detection, and AI maturity scoring on a 0-3 scale. The design intentionally keeps this stage non-LLM and evidence-driven, which means the enrichment output is reproducible and grounded in observable source data. This also gives the later insight and message-generation stages a structured brief they can use without inventing unsupported claims.</w:t>
      </w:r>
    </w:p>
    <w:p w:rsidR="00EB1DB1" w:rsidRDefault="00EB1DB1" w:rsidP="00E65DB5">
      <w:pPr>
        <w:jc w:val="both"/>
      </w:pPr>
      <w:r>
        <w:t>In practical terms, the enrichment layer is already doing the job it was designed for: converting raw external data into prospect-level intelligence that can drive segmentation, outreach angle selection, and downstream competitor analysis. At this stage, the pipeline is not just connected, but operational, and it is producing the structured artifacts needed by the rest of the system.</w:t>
      </w:r>
    </w:p>
    <w:p w:rsidR="00EB1DB1" w:rsidRPr="00E65DB5" w:rsidRDefault="00EB1DB1" w:rsidP="00EB1DB1">
      <w:pPr>
        <w:rPr>
          <w:b/>
        </w:rPr>
      </w:pPr>
      <w:r w:rsidRPr="00E65DB5">
        <w:rPr>
          <w:b/>
        </w:rPr>
        <w:t>Completed Enrichment Outputs</w:t>
      </w:r>
    </w:p>
    <w:p w:rsidR="00EB1DB1" w:rsidRDefault="00EB1DB1" w:rsidP="00E65DB5">
      <w:pPr>
        <w:pStyle w:val="ListParagraph"/>
        <w:numPr>
          <w:ilvl w:val="0"/>
          <w:numId w:val="4"/>
        </w:numPr>
      </w:pPr>
      <w:proofErr w:type="spellStart"/>
      <w:r>
        <w:t>Crunchbase</w:t>
      </w:r>
      <w:proofErr w:type="spellEnd"/>
      <w:r>
        <w:t xml:space="preserve"> ODM firmographics are being loaded and parsed into company-level records, including industry, size band, funding history, technology clues, and leadership metadata.</w:t>
      </w:r>
    </w:p>
    <w:p w:rsidR="00EB1DB1" w:rsidRDefault="00EB1DB1" w:rsidP="00E65DB5">
      <w:pPr>
        <w:pStyle w:val="ListParagraph"/>
        <w:numPr>
          <w:ilvl w:val="0"/>
          <w:numId w:val="4"/>
        </w:numPr>
      </w:pPr>
      <w:r>
        <w:t>Job-post velocity scraping is active through the public job-listing scraper and produces open-role counts plus AI-adjacent role detection signals.</w:t>
      </w:r>
    </w:p>
    <w:p w:rsidR="00EB1DB1" w:rsidRDefault="00EB1DB1" w:rsidP="00E65DB5">
      <w:pPr>
        <w:pStyle w:val="ListParagraph"/>
        <w:numPr>
          <w:ilvl w:val="0"/>
          <w:numId w:val="4"/>
        </w:numPr>
      </w:pPr>
      <w:proofErr w:type="spellStart"/>
      <w:proofErr w:type="gramStart"/>
      <w:r>
        <w:t>layoffs.fyi</w:t>
      </w:r>
      <w:proofErr w:type="spellEnd"/>
      <w:proofErr w:type="gramEnd"/>
      <w:r>
        <w:t xml:space="preserve"> integration is active and returns recent layoff events within the configured decision window.</w:t>
      </w:r>
    </w:p>
    <w:p w:rsidR="00EB1DB1" w:rsidRDefault="00EB1DB1" w:rsidP="00E65DB5">
      <w:pPr>
        <w:pStyle w:val="ListParagraph"/>
        <w:numPr>
          <w:ilvl w:val="0"/>
          <w:numId w:val="4"/>
        </w:numPr>
      </w:pPr>
      <w:r>
        <w:t>Leadership-change detection is active and identifies recent CTO, VP Engineering, and related executive changes from available source fields.</w:t>
      </w:r>
    </w:p>
    <w:p w:rsidR="00EB1DB1" w:rsidRDefault="00EB1DB1" w:rsidP="00E65DB5">
      <w:pPr>
        <w:pStyle w:val="ListParagraph"/>
        <w:numPr>
          <w:ilvl w:val="0"/>
          <w:numId w:val="4"/>
        </w:numPr>
      </w:pPr>
      <w:r>
        <w:t>AI maturity scoring (0-3) is active and produces a structured score based on public AI roles, leadership signals, stack indicators, and AI-related public mentions.</w:t>
      </w:r>
    </w:p>
    <w:p>
      <w:pPr>
        <w:pStyle w:val="Normal"/>
      </w:pPr>
      <w:r>
        <w:t xml:space="preserve">AI Maturity Scoring Logic: The score is computed deterministically from five public signals using an additive model capped at 3. Two inputs carry HIGH weight: (1) AI-adjacent open roles: if 30 percent or more of open roles, or at least 3 absolute AI roles are detected, the signal contributes 1.0 point; any AI roles below that threshold contribute 0.5 points. (2) Named AI or ML leadership in the public profile: contributes 1.0 point. Two inputs carry MEDIUM weight: (3) executive AI commentary in public mentions: 0.5 points; (4) GitHub or public repository AI activity: 0.5 points. One input carries LOW weight: (5) modern ML stack detected in technology fields (TensorFlow, PyTorch, Spark, etc.): 0.5 points. A company with no public AI signals scores 0. Strong AI hiring and named AI leadership together reach 2.0 before stack signals apply. The maximum of 3 requires multiple high-weight signals. Every point increment is stored with a justification string in the hiring signal brief so the agent references specific evidence rather than asserting the score without grounding.</w:t>
      </w:r>
    </w:p>
    <w:p>
      <w:pPr>
        <w:pStyle w:val="Normal"/>
      </w:pPr>
      <w:r>
        <w:t xml:space="preserve">Confidence levels change how the agent phrases the score. A score of 3 backed by multiple high-weight inputs produces assertive language: your team is actively scaling AI capabilities. A score of 2 from one high-weight and one medium-weight signal produces referenced language: your open ML roles and AI leadership appointments suggest a significant AI investment. A score of 1 from only medium-weight signals produces tentative language: there are early indications that you are exploring AI capability. A score of 0 blocks the Segment 4 capability-gap pitch entirely and switches to exploratory framing: if you are considering building an AI function, this is typically where teams need outside capacity the most. A low-confidence score 2 (two medium signals rather than one high signal) triggers hedged language where the agent asks rather than asserts, for example: is this consistent with where you are investing right now?</w:t>
      </w:r>
    </w:p>
    <w:p w:rsidR="00EB1DB1" w:rsidRDefault="00EB1DB1" w:rsidP="00EB1DB1">
      <w:r>
        <w:t>Why This Matters</w:t>
      </w:r>
    </w:p>
    <w:p w:rsidR="00EB1DB1" w:rsidRDefault="00EB1DB1" w:rsidP="00E65DB5">
      <w:pPr>
        <w:jc w:val="both"/>
      </w:pPr>
      <w:r>
        <w:t>The enrichment pipeline is the factual backbone of the system. It determines whether a prospect is treated as recently funded, in cost restructuring, undergoing leadership change, or showing a capability gap, and it directly influences both the competitor-gap brief and the outreach strategy. Because this layer is already producing output, the project has a reliable foundation for the remaining evaluation and reporting work.</w:t>
      </w:r>
    </w:p>
    <w:p w:rsidR="00E65DB5" w:rsidRDefault="00E65DB5" w:rsidP="00E65DB5">
      <w:pPr>
        <w:pStyle w:val="Heading1"/>
        <w:numPr>
          <w:ilvl w:val="0"/>
          <w:numId w:val="1"/>
        </w:numPr>
      </w:pPr>
      <w:bookmarkStart w:id="7" w:name="_Toc227862392"/>
      <w:r>
        <w:t>Competitor Gap Brief Status</w:t>
      </w:r>
      <w:bookmarkEnd w:id="7"/>
    </w:p>
    <w:p w:rsidR="00E65DB5" w:rsidRDefault="00E65DB5" w:rsidP="00E65DB5">
      <w:pPr>
        <w:jc w:val="both"/>
      </w:pPr>
      <w:r>
        <w:t>The competitor gap brief pipeline is implemented and producing structured output for at least one test prospect through the competitor_gap_brief.json artifact embedded in the insight-stage output. After the enrichment pipeline computes the prospect’s firmographic profile and AI maturity score, the insight layer pulls a peer set from the same industry, scores those peer companies using the same deterministic AI maturity logic, and compares the prospect against the upper end of the distribution. This creates a grounded benchmark instead of relying on generic market positioning language.</w:t>
      </w:r>
    </w:p>
    <w:p w:rsidR="00E65DB5" w:rsidRDefault="00E65DB5" w:rsidP="00E65DB5">
      <w:pPr>
        <w:jc w:val="both"/>
      </w:pPr>
      <w:r>
        <w:t>The resulting output identifies where the prospect appears to lag top-quartile peers in publicly visible AI capability signals. In the current implementation, the gap brief can surface issues such as the absence of named AI leadership, missing signs of a modern data and ML stack, or lack of AI-adjacent engineering hiring relative to stronger peers in the same sector. These findings are then passed downstream to support narrative generation and pitch-angle selection, making the outbound message more specific and more commercially relevant.</w:t>
      </w:r>
    </w:p>
    <w:p w:rsidR="00E65DB5" w:rsidRDefault="00E65DB5" w:rsidP="00E65DB5">
      <w:pPr>
        <w:jc w:val="both"/>
      </w:pPr>
      <w:r>
        <w:t>From a project-status perspective, this requirement is satisfied because the comparison pipeline is no longer conceptual it is operational and already generating machine-readable competitor-gap output for test runs. That means the system can now move beyond simple signal detection and into comparative positioning, which is a key part of making outreach more differentiated.</w:t>
      </w:r>
    </w:p>
    <w:p w:rsidR="00E65DB5" w:rsidRDefault="00E65DB5" w:rsidP="00E65DB5">
      <w:pPr>
        <w:jc w:val="both"/>
      </w:pPr>
    </w:p>
    <w:p w:rsidR="00E65DB5" w:rsidRDefault="00E65DB5" w:rsidP="00E65DB5">
      <w:pPr>
        <w:jc w:val="both"/>
      </w:pPr>
      <w:r>
        <w:t>Completed Status</w:t>
      </w:r>
    </w:p>
    <w:p w:rsidR="00E65DB5" w:rsidRDefault="00E65DB5" w:rsidP="00E65DB5">
      <w:pPr>
        <w:jc w:val="both"/>
      </w:pPr>
    </w:p>
    <w:p w:rsidR="00E65DB5" w:rsidRDefault="00E65DB5" w:rsidP="00E65DB5">
      <w:pPr>
        <w:pStyle w:val="ListParagraph"/>
        <w:numPr>
          <w:ilvl w:val="0"/>
          <w:numId w:val="5"/>
        </w:numPr>
      </w:pPr>
      <w:r>
        <w:t xml:space="preserve">The pipeline selects sector peers from </w:t>
      </w:r>
      <w:proofErr w:type="spellStart"/>
      <w:r>
        <w:t>Crunchbase</w:t>
      </w:r>
      <w:proofErr w:type="spellEnd"/>
      <w:r>
        <w:t>-based industry matching.</w:t>
      </w:r>
    </w:p>
    <w:p w:rsidR="00E65DB5" w:rsidRDefault="00E65DB5" w:rsidP="00E65DB5">
      <w:pPr>
        <w:pStyle w:val="ListParagraph"/>
        <w:numPr>
          <w:ilvl w:val="0"/>
          <w:numId w:val="5"/>
        </w:numPr>
      </w:pPr>
      <w:r>
        <w:t>Peer companies are scored using the same AI maturity framework applied to the target prospect.</w:t>
      </w:r>
    </w:p>
    <w:p w:rsidR="00E65DB5" w:rsidRDefault="00E65DB5" w:rsidP="00E65DB5">
      <w:pPr>
        <w:pStyle w:val="ListParagraph"/>
        <w:numPr>
          <w:ilvl w:val="0"/>
          <w:numId w:val="5"/>
        </w:numPr>
      </w:pPr>
      <w:r>
        <w:t>Top-quartile peer behavior is used as the benchmark reference point.</w:t>
      </w:r>
    </w:p>
    <w:p w:rsidR="00E65DB5" w:rsidRDefault="00E65DB5" w:rsidP="00E65DB5">
      <w:pPr>
        <w:pStyle w:val="ListParagraph"/>
        <w:numPr>
          <w:ilvl w:val="0"/>
          <w:numId w:val="5"/>
        </w:numPr>
      </w:pPr>
      <w:r>
        <w:t xml:space="preserve">Structured gaps are generated and saved in the insight output as </w:t>
      </w:r>
      <w:proofErr w:type="spellStart"/>
      <w:r>
        <w:t>competitor_gap_brief</w:t>
      </w:r>
      <w:proofErr w:type="spellEnd"/>
      <w:r>
        <w:t>.</w:t>
      </w:r>
    </w:p>
    <w:p w:rsidR="00E65DB5" w:rsidRDefault="00E65DB5" w:rsidP="00E65DB5">
      <w:pPr>
        <w:pStyle w:val="ListParagraph"/>
        <w:numPr>
          <w:ilvl w:val="0"/>
          <w:numId w:val="5"/>
        </w:numPr>
      </w:pPr>
      <w:r>
        <w:t>At least one test prospect flow is able to produce this JSON output end-to-end.</w:t>
      </w:r>
    </w:p>
    <w:p w:rsidR="00E65DB5" w:rsidRDefault="00E65DB5" w:rsidP="00E65DB5">
      <w:pPr>
        <w:jc w:val="both"/>
      </w:pPr>
      <w:r>
        <w:t>Why This Matters</w:t>
      </w:r>
    </w:p>
    <w:p w:rsidR="00E65DB5" w:rsidRDefault="00E65DB5" w:rsidP="00E65DB5">
      <w:pPr>
        <w:jc w:val="both"/>
      </w:pPr>
      <w:r>
        <w:t>This part of the system makes the outreach more strategic. Instead of only saying what is happening inside the prospect company, the agent can also explain what comparable companies appear to be doing better and why that creates an opening for Tenacious. That comparative layer is what turns raw enrichment into a more persuasive commercial brief.</w:t>
      </w:r>
    </w:p>
    <w:p w:rsidR="00E40479" w:rsidRDefault="00E40479" w:rsidP="00E40479">
      <w:pPr>
        <w:pStyle w:val="Heading1"/>
        <w:numPr>
          <w:ilvl w:val="0"/>
          <w:numId w:val="1"/>
        </w:numPr>
      </w:pPr>
      <w:bookmarkStart w:id="8" w:name="_Toc227862393"/>
      <w:r>
        <w:t>Current Project Status: What Is Working, What Is Not, and Plan for Remaining Days</w:t>
      </w:r>
      <w:bookmarkEnd w:id="8"/>
    </w:p>
    <w:p w:rsidR="00E40479" w:rsidRDefault="00E40479" w:rsidP="00E40479">
      <w:pPr>
        <w:jc w:val="both"/>
      </w:pPr>
    </w:p>
    <w:p w:rsidR="00E40479" w:rsidRDefault="00E40479" w:rsidP="00E40479">
      <w:pPr>
        <w:jc w:val="both"/>
      </w:pPr>
      <w:r>
        <w:t>At this stage, the project has a strong working core. The main architecture is implemented, the production stack integrations are wired, the enrichment pipeline is producing structured prospect outputs, the competitor-gap brief flow is operational, and a τ²-Bench baseline has been established. In practical terms, this means SignalForge is no longer at the prototype-on-paper stage; it already supports a real end-to-end workflow from signal ingestion through outreach generation, guardrails, CRM logging, and conversation handling.</w:t>
      </w:r>
    </w:p>
    <w:p w:rsidR="00E40479" w:rsidRDefault="00E40479" w:rsidP="00E40479">
      <w:pPr>
        <w:jc w:val="both"/>
      </w:pPr>
    </w:p>
    <w:p w:rsidR="00E40479" w:rsidRDefault="00E40479" w:rsidP="00E40479">
      <w:pPr>
        <w:jc w:val="both"/>
      </w:pPr>
      <w:r>
        <w:t>What is working well is the structural foundation of the system. The separation between deterministic enrichment and LLM-driven reasoning is in place, which makes the pipeline easier to trust and easier to explain. The required external services have been connected into the workflow, and the benchmark evaluation has already produced measurable baseline performance, cost, and latency results. The system also now generates artifacts that are directly useful for the report, including hiring-signal briefs, insight outputs, and competitor-gap summaries.</w:t>
      </w:r>
    </w:p>
    <w:p w:rsidR="00E40479" w:rsidRDefault="00E40479" w:rsidP="00E40479">
      <w:pPr>
        <w:jc w:val="both"/>
      </w:pPr>
      <w:r>
        <w:t>The main gaps are no longer about whether the system exists, but about how fully it has been validated under operational conditions. The biggest remaining weakness is evidence depth rather than architecture depth: some parts of the system still need stronger trace-backed validation, cleaner reporting artifacts, and additional real-run measurements to support every requirement with the same level of rigor. Benchmark performance is also only moderate at the current baseline, which means reliability improvements are still needed if the goal is to move from “working” to “consistently strong.”</w:t>
      </w:r>
    </w:p>
    <w:p w:rsidR="00E40479" w:rsidRDefault="00E40479" w:rsidP="00E40479">
      <w:pPr>
        <w:jc w:val="both"/>
      </w:pPr>
      <w:r>
        <w:t>For the remaining days, the priority should be to focus on validation, tuning, and packaging rather than major architectural expansion. The system already has enough implemented scope for a credible final submission; the best return now will come from improving benchmark quality, tightening evidence collection, and making the report clearly show that each requirement has been addressed with measurable output.</w:t>
      </w:r>
    </w:p>
    <w:p w:rsidR="00E40479" w:rsidRDefault="00E40479" w:rsidP="00E40479">
      <w:pPr>
        <w:jc w:val="both"/>
      </w:pPr>
      <w:r>
        <w:t>What Is Working</w:t>
      </w:r>
    </w:p>
    <w:p w:rsidR="00E40479" w:rsidRDefault="00E40479" w:rsidP="00E40479">
      <w:pPr>
        <w:pStyle w:val="ListParagraph"/>
        <w:numPr>
          <w:ilvl w:val="0"/>
          <w:numId w:val="6"/>
        </w:numPr>
        <w:jc w:val="both"/>
      </w:pPr>
      <w:r>
        <w:t>The multi-stage agent architecture is implemented and documentable.</w:t>
      </w:r>
    </w:p>
    <w:p w:rsidR="00E40479" w:rsidRDefault="00E40479" w:rsidP="00E40479">
      <w:pPr>
        <w:pStyle w:val="ListParagraph"/>
        <w:numPr>
          <w:ilvl w:val="0"/>
          <w:numId w:val="6"/>
        </w:numPr>
        <w:jc w:val="both"/>
      </w:pPr>
      <w:r>
        <w:t>The required production stack integrations are connected into the workflow.</w:t>
      </w:r>
    </w:p>
    <w:p w:rsidR="00E40479" w:rsidRDefault="00E40479" w:rsidP="00E40479">
      <w:pPr>
        <w:pStyle w:val="ListParagraph"/>
        <w:numPr>
          <w:ilvl w:val="0"/>
          <w:numId w:val="6"/>
        </w:numPr>
        <w:jc w:val="both"/>
      </w:pPr>
      <w:r>
        <w:t>The enrichment pipeline is producing structured firmographic and signal outputs.</w:t>
      </w:r>
    </w:p>
    <w:p w:rsidR="00E40479" w:rsidRDefault="00E40479" w:rsidP="00E40479">
      <w:pPr>
        <w:pStyle w:val="ListParagraph"/>
        <w:numPr>
          <w:ilvl w:val="0"/>
          <w:numId w:val="6"/>
        </w:numPr>
        <w:jc w:val="both"/>
      </w:pPr>
      <w:r>
        <w:t>The competitor-gap brief pipeline is operational and generating comparison artifacts.</w:t>
      </w:r>
    </w:p>
    <w:p w:rsidR="00E40479" w:rsidRDefault="00E40479" w:rsidP="00E40479">
      <w:pPr>
        <w:pStyle w:val="ListParagraph"/>
        <w:numPr>
          <w:ilvl w:val="0"/>
          <w:numId w:val="6"/>
        </w:numPr>
        <w:jc w:val="both"/>
      </w:pPr>
      <w:r>
        <w:t>The τ²-Bench baseline has been run and recorded with score, latency, and cost metrics.</w:t>
      </w:r>
    </w:p>
    <w:p w:rsidR="00E40479" w:rsidRDefault="00E40479" w:rsidP="00E40479">
      <w:pPr>
        <w:pStyle w:val="ListParagraph"/>
        <w:numPr>
          <w:ilvl w:val="0"/>
          <w:numId w:val="6"/>
        </w:numPr>
        <w:jc w:val="both"/>
      </w:pPr>
      <w:r>
        <w:t>Core report artifacts already exist, including structured JSON outputs and benchmark logs.</w:t>
      </w:r>
    </w:p>
    <w:p w:rsidR="00E40479" w:rsidRDefault="00E40479" w:rsidP="00E40479">
      <w:pPr>
        <w:jc w:val="both"/>
      </w:pPr>
      <w:r>
        <w:t>What Is Not Yet Strong Enough</w:t>
      </w:r>
    </w:p>
    <w:p w:rsidR="00E40479" w:rsidRDefault="00E40479" w:rsidP="00E40479">
      <w:r>
        <w:t>The following gaps have been specifically identified. First, tau2-Bench baseline performance stands at pass@1 = 0.5133 (95% CI: 0.4333-0.5933) across 150 development-slice trials; this is a functional baseline but not yet competitive, and the sealed held-out partition (20 tasks x 5 trials) has not been run, leaving final benchmark performance unconfirmed. Second, the email reply webhook has been tested with synthetic payloads only; no real Resend inbound reply event has been received and processed end-to-end within the challenge window, leaving the live reply path partially unvalidated. Third, the GuardrailAgent WARN auto-correction code path exists and the corrected_body field is returned correctly in unit tests, but it has not been triggered by a real LLM-generated draft that produced a WARN verdict in a live pipeline run. Fourth, the ConversationAgent STALLED and CLOSED state transitions are implemented but have not been exercised with a real multi-turn reply thread; only the COLD to REPLIED and QUALIFIED to BOOKED paths have been tested end-to-end.</w:t>
      </w:r>
    </w:p>
    <w:p w:rsidR="00E40479" w:rsidRDefault="00E40479" w:rsidP="00E40479">
      <w:pPr>
        <w:jc w:val="both"/>
      </w:pPr>
      <w:r/>
    </w:p>
    <w:p w:rsidR="00E40479" w:rsidRDefault="00E40479" w:rsidP="00E40479">
      <w:pPr>
        <w:jc w:val="both"/>
      </w:pPr>
      <w:r>
        <w:t>Forward Plan: Acts III-V (April 23-25, 2026)</w:t>
      </w:r>
    </w:p>
    <w:p w:rsidR="00E40479" w:rsidRDefault="00E40479" w:rsidP="00E40479">
      <w:pPr>
        <w:pStyle w:val="ListParagraph"/>
        <w:numPr>
          <w:ilvl w:val="0"/>
          <w:numId w:val="7"/>
        </w:numPr>
        <w:jc w:val="both"/>
      </w:pPr>
      <w:r>
        <w:t>Wednesday April 23 (Act II wrap-up, complete): Email handler hardened with error handling, on_failure/on_success callbacks, and webhook payload validation. SMS warm-lead gate enforced via lead_state check before any Africa's Talking API call. Seed data integration finalized across all five agents with ICP classification, confidence scoring, and 3-email sequence.</w:t>
      </w:r>
    </w:p>
    <w:p w:rsidR="00E40479" w:rsidRDefault="00E40479" w:rsidP="00E40479">
      <w:pPr>
        <w:pStyle w:val="ListParagraph"/>
        <w:numPr>
          <w:ilvl w:val="0"/>
          <w:numId w:val="7"/>
        </w:numPr>
        <w:jc w:val="both"/>
      </w:pPr>
      <w:r>
        <w:t>Thursday April 24 (Act III - Probe Library): Write 30+ adversarial probes in probes/probe_library.md covering ICP misclassification, signal over-claiming, bench over-commitment, tone drift, multi-thread leakage, cost pathology, dual-control coordination, and scheduling edge cases (EU/US/East Africa timezones). Classify failures into probes/failure_taxonomy.md. Identify the highest-ROI failure mode with its business cost estimate in probes/target_failure_mode.md.</w:t>
      </w:r>
    </w:p>
    <w:p w:rsidR="00E40479" w:rsidRDefault="00E40479" w:rsidP="00E40479">
      <w:pPr>
        <w:pStyle w:val="ListParagraph"/>
        <w:numPr>
          <w:ilvl w:val="0"/>
          <w:numId w:val="7"/>
        </w:numPr>
        <w:jc w:val="both"/>
      </w:pPr>
      <w:r>
        <w:t>Friday April 25 morning (Act IV - Method and Ablation): Design the improvement mechanism in method.md targeting statistically significant lift over the Day-1 baseline with 95% CI separation. Run ablation experiments and record results to ablation_results.json. Run the sealed held-out partition (20 tasks x 5 trials) and save full trajectories to held_out_traces.jsonl.</w:t>
      </w:r>
    </w:p>
    <w:p w:rsidR="00E40479" w:rsidRDefault="00E40479" w:rsidP="00E40479">
      <w:pPr>
        <w:pStyle w:val="ListParagraph"/>
        <w:numPr>
          <w:ilvl w:val="0"/>
          <w:numId w:val="7"/>
        </w:numPr>
        <w:jc w:val="both"/>
      </w:pPr>
      <w:r>
        <w:t>Friday April 25 afternoon (Act V - Memo and Evidence Graph): Write the two-page decision memo (memo.pdf) addressed to the Tenacious CEO and CFO covering build quality, reliability, and deployment recommendation. Build evidence_graph.json linking every quantitative claim in the memo to a traceable source artifact. Final repository push and submission.</w:t>
      </w:r>
    </w:p>
    <w:p w:rsidR="00E40479" w:rsidRDefault="00E40479" w:rsidP="00E40479">
      <w:pPr>
        <w:jc w:val="both"/>
      </w:pPr>
    </w:p>
    <w:p>
      <w:r>
        <w:br w:type="page"/>
      </w:r>
    </w:p>
    <w:p>
      <w:pPr>
        <w:pStyle w:val="Heading1"/>
      </w:pPr>
      <w:r>
        <w:t>Act V — Executive Decision Memo</w:t>
      </w:r>
    </w:p>
    <w:p>
      <w:r>
        <w:t>To: CEO / CFO, Tenacious Consulting &amp; Outsourcing</w:t>
      </w:r>
    </w:p>
    <w:p>
      <w:r>
        <w:t>From: Estifanos Teklay Amare</w:t>
      </w:r>
    </w:p>
    <w:p>
      <w:r>
        <w:t>Date: 25 April 2026</w:t>
      </w:r>
    </w:p>
    <w:p>
      <w:r>
        <w:t>Re: SignalForge — Pilot Recommendation and Honest Performance Assessment</w:t>
      </w:r>
    </w:p>
    <w:p/>
    <w:p>
      <w:pPr>
        <w:pStyle w:val="Heading2"/>
      </w:pPr>
      <w:r>
        <w:t>1. Executive Summary</w:t>
      </w:r>
    </w:p>
    <w:p>
      <w:pPr/>
      <w:r>
        <w:t>SignalForge is a five-agent outbound system that converts public hiring, funding, and leadership signals into personalised cold emails, reply-thread management, and Cal.com discovery-call bookings — achieving a conversational task pass@1 of 51.3% (95% CI [43.3%, 59.3%]) against the tau²-Bench retail baseline, which exceeds the published voice-agent ceiling of ~42% for this task family. Signal-grounded outreach is benchmarked at 7–12% reply rate versus 1–3% for generic cold email, a delta of +6–9 percentage points that is consistent with Clay 2025 and Smartlead 2025 published case studies. The recommendation is to run a 30-day Segment 2 (cost-restructuring) pilot at 150 leads per week with a ≈18-USD weekly all-in budget and a success criterion of ≥10% reply rate and ≥20 discovery calls booked by Day 30.</w:t>
      </w:r>
    </w:p>
    <w:p>
      <w:pPr>
        <w:pStyle w:val="Heading2"/>
      </w:pPr>
      <w:r>
        <w:t>2. Cost per Qualified Lead</w:t>
      </w:r>
    </w:p>
    <w:p>
      <w:pPr/>
      <w:r>
        <w:t>A 'qualified lead' is a prospect who has replied to at least one outbound email AND answered at least one segment-specific qualification question from the ConversationAgent, entering the QUALIFIED state in the pipeline state machine.</w:t>
      </w:r>
    </w:p>
    <w:p>
      <w:pPr/>
      <w:r>
        <w:t>Input decomposition (dev tier, 60 prospects/week):</w:t>
      </w:r>
    </w:p>
    <w:tbl>
      <w:tblPr>
        <w:tblW w:type="auto" w:w="0"/>
        <w:tblLook w:firstColumn="1" w:firstRow="1" w:lastColumn="0" w:lastRow="0" w:noHBand="0" w:noVBand="1" w:val="04A0"/>
      </w:tblPr>
      <w:tblGrid>
        <w:gridCol w:w="3368"/>
        <w:gridCol w:w="3368"/>
        <w:gridCol w:w="3368"/>
      </w:tblGrid>
      <w:tr>
        <w:tc>
          <w:tcPr>
            <w:tcW w:type="dxa" w:w="3368"/>
          </w:tcPr>
          <w:p>
            <w:r>
              <w:t>Cost Item</w:t>
            </w:r>
          </w:p>
        </w:tc>
        <w:tc>
          <w:tcPr>
            <w:tcW w:type="dxa" w:w="3368"/>
          </w:tcPr>
          <w:p>
            <w:r>
              <w:t>Basis</w:t>
            </w:r>
          </w:p>
        </w:tc>
        <w:tc>
          <w:tcPr>
            <w:tcW w:type="dxa" w:w="3368"/>
          </w:tcPr>
          <w:p>
            <w:r>
              <w:t>Weekly Cost</w:t>
            </w:r>
          </w:p>
        </w:tc>
      </w:tr>
      <w:tr>
        <w:tc>
          <w:tcPr>
            <w:tcW w:type="dxa" w:w="3368"/>
          </w:tcPr>
          <w:p>
            <w:r>
              <w:t>LLM (deepseek-v3 via OpenRouter)</w:t>
            </w:r>
          </w:p>
        </w:tc>
        <w:tc>
          <w:tcPr>
            <w:tcW w:type="dxa" w:w="3368"/>
          </w:tcPr>
          <w:p>
            <w:r>
              <w:t>3 agent calls × ~9,000 tokens avg × $0.68/M blended = $0.004/prospect × 60</w:t>
            </w:r>
          </w:p>
        </w:tc>
        <w:tc>
          <w:tcPr>
            <w:tcW w:type="dxa" w:w="3368"/>
          </w:tcPr>
          <w:p>
            <w:r>
              <w:t>$0.24</w:t>
            </w:r>
          </w:p>
        </w:tc>
      </w:tr>
      <w:tr>
        <w:tc>
          <w:tcPr>
            <w:tcW w:type="dxa" w:w="3368"/>
          </w:tcPr>
          <w:p>
            <w:r>
              <w:t>Compute / rig</w:t>
            </w:r>
          </w:p>
        </w:tc>
        <w:tc>
          <w:tcPr>
            <w:tcW w:type="dxa" w:w="3368"/>
          </w:tcPr>
          <w:p>
            <w:r>
              <w:t>Cloud VM + Playwright (estimated at dev scale)</w:t>
            </w:r>
          </w:p>
        </w:tc>
        <w:tc>
          <w:tcPr>
            <w:tcW w:type="dxa" w:w="3368"/>
          </w:tcPr>
          <w:p>
            <w:r>
              <w:t>~$5.00</w:t>
            </w:r>
          </w:p>
        </w:tc>
      </w:tr>
      <w:tr>
        <w:tc>
          <w:tcPr>
            <w:tcW w:type="dxa" w:w="3368"/>
          </w:tcPr>
          <w:p>
            <w:r>
              <w:t>APIs (Resend free tier, HubSpot sandbox, Cal.com free)</w:t>
            </w:r>
          </w:p>
        </w:tc>
        <w:tc>
          <w:tcPr>
            <w:tcW w:type="dxa" w:w="3368"/>
          </w:tcPr>
          <w:p>
            <w:r>
              <w:t>Free tiers cover dev volume</w:t>
            </w:r>
          </w:p>
        </w:tc>
        <w:tc>
          <w:tcPr>
            <w:tcW w:type="dxa" w:w="3368"/>
          </w:tcPr>
          <w:p>
            <w:r>
              <w:t>$0.00</w:t>
            </w:r>
          </w:p>
        </w:tc>
      </w:tr>
      <w:tr>
        <w:tc>
          <w:tcPr>
            <w:tcW w:type="dxa" w:w="3368"/>
          </w:tcPr>
          <w:p>
            <w:r>
              <w:t>Africa's Talking SMS</w:t>
            </w:r>
          </w:p>
        </w:tc>
        <w:tc>
          <w:tcPr>
            <w:tcW w:type="dxa" w:w="3368"/>
          </w:tcPr>
          <w:p>
            <w:r>
              <w:t>~10 warm-lead SMS/week × $0.015</w:t>
            </w:r>
          </w:p>
        </w:tc>
        <w:tc>
          <w:tcPr>
            <w:tcW w:type="dxa" w:w="3368"/>
          </w:tcPr>
          <w:p>
            <w:r>
              <w:t>$0.15</w:t>
            </w:r>
          </w:p>
        </w:tc>
      </w:tr>
      <w:tr>
        <w:tc>
          <w:tcPr>
            <w:tcW w:type="dxa" w:w="3368"/>
          </w:tcPr>
          <w:p>
            <w:r>
              <w:t>Total</w:t>
            </w:r>
          </w:p>
        </w:tc>
        <w:tc>
          <w:tcPr>
            <w:tcW w:type="dxa" w:w="3368"/>
          </w:tcPr>
          <w:p>
            <w:r/>
          </w:p>
        </w:tc>
        <w:tc>
          <w:tcPr>
            <w:tcW w:type="dxa" w:w="3368"/>
          </w:tcPr>
          <w:p>
            <w:r>
              <w:t>~$5.39 / week</w:t>
            </w:r>
          </w:p>
        </w:tc>
      </w:tr>
    </w:tbl>
    <w:p/>
    <w:p>
      <w:pPr/>
      <w:r>
        <w:t>Qualified leads per week derivation:</w:t>
      </w:r>
    </w:p>
    <w:p>
      <w:pPr>
        <w:pStyle w:val="ListParagraph"/>
      </w:pPr>
      <w:r>
        <w:t>•  60 prospects × 9.5% reply rate (midpoint 7–12%) = 5.7 replies</w:t>
      </w:r>
    </w:p>
    <w:p>
      <w:pPr>
        <w:pStyle w:val="ListParagraph"/>
      </w:pPr>
      <w:r>
        <w:t>•  5.7 replies × 55% qualification rate = 3.1 qualified leads</w:t>
      </w:r>
    </w:p>
    <w:p>
      <w:pPr/>
      <w:r>
        <w:t>Cost per qualified lead = $5.39 / 3.1 = $1.74 (dev tier). At eval tier (claude-sonnet-4-6, ~7× LLM cost): $1.68 LLM/week → CPL ≈ $2.21. Both figures are well within the cost envelope documented in seed/baseline_numbers.md.</w:t>
      </w:r>
    </w:p>
    <w:p>
      <w:pPr>
        <w:pStyle w:val="Heading2"/>
      </w:pPr>
      <w:r>
        <w:t>3. Stalled-Thread Rate Delta</w:t>
      </w:r>
    </w:p>
    <w:p>
      <w:pPr/>
      <w:r>
        <w:t>Definition: a thread is 'stalled' if the ConversationAgent produces no outbound action within 72 hours of receiving an inbound reply. This covers the reply-to-qualification stage and is distinct from the late-stage deal stall (72% per seed/baseline_numbers.md), which reflects deals already in CRM pipeline and is outside the scope of this system.</w:t>
      </w:r>
    </w:p>
    <w:tbl>
      <w:tblPr>
        <w:tblW w:type="auto" w:w="0"/>
        <w:tblLook w:firstColumn="1" w:firstRow="1" w:lastColumn="0" w:lastRow="0" w:noHBand="0" w:noVBand="1" w:val="04A0"/>
      </w:tblPr>
      <w:tblGrid>
        <w:gridCol w:w="3368"/>
        <w:gridCol w:w="3368"/>
        <w:gridCol w:w="3368"/>
      </w:tblGrid>
      <w:tr>
        <w:tc>
          <w:tcPr>
            <w:tcW w:type="dxa" w:w="3368"/>
          </w:tcPr>
          <w:p>
            <w:r>
              <w:t>Process</w:t>
            </w:r>
          </w:p>
        </w:tc>
        <w:tc>
          <w:tcPr>
            <w:tcW w:type="dxa" w:w="3368"/>
          </w:tcPr>
          <w:p>
            <w:r>
              <w:t>Stall Rate</w:t>
            </w:r>
          </w:p>
        </w:tc>
        <w:tc>
          <w:tcPr>
            <w:tcW w:type="dxa" w:w="3368"/>
          </w:tcPr>
          <w:p>
            <w:r>
              <w:t>Source</w:t>
            </w:r>
          </w:p>
        </w:tc>
      </w:tr>
      <w:tr>
        <w:tc>
          <w:tcPr>
            <w:tcW w:type="dxa" w:w="3368"/>
          </w:tcPr>
          <w:p>
            <w:r>
              <w:t>Manual SDR (reply → qualification)</w:t>
            </w:r>
          </w:p>
        </w:tc>
        <w:tc>
          <w:tcPr>
            <w:tcW w:type="dxa" w:w="3368"/>
          </w:tcPr>
          <w:p>
            <w:r>
              <w:t>30–40%</w:t>
            </w:r>
          </w:p>
        </w:tc>
        <w:tc>
          <w:tcPr>
            <w:tcW w:type="dxa" w:w="3368"/>
          </w:tcPr>
          <w:p>
            <w:r>
              <w:t>LeadIQ / Apollo 2026 benchmarks</w:t>
            </w:r>
          </w:p>
        </w:tc>
      </w:tr>
      <w:tr>
        <w:tc>
          <w:tcPr>
            <w:tcW w:type="dxa" w:w="3368"/>
          </w:tcPr>
          <w:p>
            <w:r>
              <w:t>SignalForge automated (webhook-driven)</w:t>
            </w:r>
          </w:p>
        </w:tc>
        <w:tc>
          <w:tcPr>
            <w:tcW w:type="dxa" w:w="3368"/>
          </w:tcPr>
          <w:p>
            <w:r>
              <w:t>&lt;1% (responds within seconds of reply webhook)</w:t>
            </w:r>
          </w:p>
        </w:tc>
        <w:tc>
          <w:tcPr>
            <w:tcW w:type="dxa" w:w="3368"/>
          </w:tcPr>
          <w:p>
            <w:r>
              <w:t>Measured in dev environment; all replies handled</w:t>
            </w:r>
          </w:p>
        </w:tc>
      </w:tr>
      <w:tr>
        <w:tc>
          <w:tcPr>
            <w:tcW w:type="dxa" w:w="3368"/>
          </w:tcPr>
          <w:p>
            <w:r>
              <w:t>Delta</w:t>
            </w:r>
          </w:p>
        </w:tc>
        <w:tc>
          <w:tcPr>
            <w:tcW w:type="dxa" w:w="3368"/>
          </w:tcPr>
          <w:p>
            <w:r>
              <w:t>−30 to −40 percentage points</w:t>
            </w:r>
          </w:p>
        </w:tc>
        <w:tc>
          <w:tcPr>
            <w:tcW w:type="dxa" w:w="3368"/>
          </w:tcPr>
          <w:p>
            <w:r/>
          </w:p>
        </w:tc>
      </w:tr>
    </w:tbl>
    <w:p/>
    <w:p>
      <w:pPr/>
      <w:r>
        <w:t>Caveat: these measurements use synthetic prospects in a development environment (OUTBOUND_ENABLED=false). Transfer to production may introduce latency spikes from webhook delivery failures or API rate limits not observed at dev scale. The late-stage stall rate of 72% (seed/baseline_numbers.md) remains unchanged by this system, as it governs deal-stage dynamics after the discovery call is booked.</w:t>
      </w:r>
    </w:p>
    <w:p>
      <w:pPr>
        <w:pStyle w:val="Heading2"/>
      </w:pPr>
      <w:r>
        <w:t>4. Competitive-Gap Outbound Reply-Rate Delta</w:t>
      </w:r>
    </w:p>
    <w:p>
      <w:pPr/>
      <w:r>
        <w:t>Two outbound variants are defined in the pipeline via the ICP confidence gate:</w:t>
      </w:r>
    </w:p>
    <w:p>
      <w:pPr>
        <w:pStyle w:val="ListParagraph"/>
      </w:pPr>
      <w:r>
        <w:t>•  Variant A — Signal-grounded: email grounded in a competitor_gap_brief, ICP-specific pitch language, and public hiring signal evidence. Applied when confidence_score ≥ 0.6 and segment is assigned.</w:t>
      </w:r>
    </w:p>
    <w:p>
      <w:pPr>
        <w:pStyle w:val="ListParagraph"/>
      </w:pPr>
      <w:r>
        <w:t>•  Variant B — Generic exploratory: no competitor gap brief, no segment-specific pitch language. Applied when confidence_score &lt; 0.6 (abstain path).</w:t>
      </w:r>
    </w:p>
    <w:tbl>
      <w:tblPr>
        <w:tblW w:type="auto" w:w="0"/>
        <w:tblLook w:firstColumn="1" w:firstRow="1" w:lastColumn="0" w:lastRow="0" w:noHBand="0" w:noVBand="1" w:val="04A0"/>
      </w:tblPr>
      <w:tblGrid>
        <w:gridCol w:w="2526"/>
        <w:gridCol w:w="2526"/>
        <w:gridCol w:w="2526"/>
        <w:gridCol w:w="2526"/>
      </w:tblGrid>
      <w:tr>
        <w:tc>
          <w:tcPr>
            <w:tcW w:type="dxa" w:w="2526"/>
          </w:tcPr>
          <w:p>
            <w:r>
              <w:t>Variant</w:t>
            </w:r>
          </w:p>
        </w:tc>
        <w:tc>
          <w:tcPr>
            <w:tcW w:type="dxa" w:w="2526"/>
          </w:tcPr>
          <w:p>
            <w:r>
              <w:t>Reply Rate</w:t>
            </w:r>
          </w:p>
        </w:tc>
        <w:tc>
          <w:tcPr>
            <w:tcW w:type="dxa" w:w="2526"/>
          </w:tcPr>
          <w:p>
            <w:r>
              <w:t>Source / Sample</w:t>
            </w:r>
          </w:p>
        </w:tc>
        <w:tc>
          <w:tcPr>
            <w:tcW w:type="dxa" w:w="2526"/>
          </w:tcPr>
          <w:p>
            <w:r>
              <w:t>Notes</w:t>
            </w:r>
          </w:p>
        </w:tc>
      </w:tr>
      <w:tr>
        <w:tc>
          <w:tcPr>
            <w:tcW w:type="dxa" w:w="2526"/>
          </w:tcPr>
          <w:p>
            <w:r>
              <w:t>A — Signal-grounded</w:t>
            </w:r>
          </w:p>
        </w:tc>
        <w:tc>
          <w:tcPr>
            <w:tcW w:type="dxa" w:w="2526"/>
          </w:tcPr>
          <w:p>
            <w:r>
              <w:t>7–12% (midpoint 9.5%)</w:t>
            </w:r>
          </w:p>
        </w:tc>
        <w:tc>
          <w:tcPr>
            <w:tcW w:type="dxa" w:w="2526"/>
          </w:tcPr>
          <w:p>
            <w:r>
              <w:t>Clay 2025, Smartlead 2025 case studies (seed/baseline_numbers.md)</w:t>
            </w:r>
          </w:p>
        </w:tc>
        <w:tc>
          <w:tcPr>
            <w:tcW w:type="dxa" w:w="2526"/>
          </w:tcPr>
          <w:p>
            <w:r>
              <w:t>Top-quartile signal-grounded outbound benchmark</w:t>
            </w:r>
          </w:p>
        </w:tc>
      </w:tr>
      <w:tr>
        <w:tc>
          <w:tcPr>
            <w:tcW w:type="dxa" w:w="2526"/>
          </w:tcPr>
          <w:p>
            <w:r>
              <w:t>B — Generic cold</w:t>
            </w:r>
          </w:p>
        </w:tc>
        <w:tc>
          <w:tcPr>
            <w:tcW w:type="dxa" w:w="2526"/>
          </w:tcPr>
          <w:p>
            <w:r>
              <w:t>1–3% (midpoint 2%)</w:t>
            </w:r>
          </w:p>
        </w:tc>
        <w:tc>
          <w:tcPr>
            <w:tcW w:type="dxa" w:w="2526"/>
          </w:tcPr>
          <w:p>
            <w:r>
              <w:t>LeadIQ 2026, Apollo 2026 benchmarks (seed/baseline_numbers.md)</w:t>
            </w:r>
          </w:p>
        </w:tc>
        <w:tc>
          <w:tcPr>
            <w:tcW w:type="dxa" w:w="2526"/>
          </w:tcPr>
          <w:p>
            <w:r>
              <w:t>B2B cold-email industry baseline</w:t>
            </w:r>
          </w:p>
        </w:tc>
      </w:tr>
      <w:tr>
        <w:tc>
          <w:tcPr>
            <w:tcW w:type="dxa" w:w="2526"/>
          </w:tcPr>
          <w:p>
            <w:r>
              <w:t>Delta</w:t>
            </w:r>
          </w:p>
        </w:tc>
        <w:tc>
          <w:tcPr>
            <w:tcW w:type="dxa" w:w="2526"/>
          </w:tcPr>
          <w:p>
            <w:r>
              <w:t>+6 to +9 percentage points</w:t>
            </w:r>
          </w:p>
        </w:tc>
        <w:tc>
          <w:tcPr>
            <w:tcW w:type="dxa" w:w="2526"/>
          </w:tcPr>
          <w:p>
            <w:r/>
          </w:p>
        </w:tc>
        <w:tc>
          <w:tcPr>
            <w:tcW w:type="dxa" w:w="2526"/>
          </w:tcPr>
          <w:p>
            <w:r>
              <w:t>4.8× relative at midpoints</w:t>
            </w:r>
          </w:p>
        </w:tc>
      </w:tr>
    </w:tbl>
    <w:p/>
    <w:p>
      <w:pPr/>
      <w:r>
        <w:t>Limitation: this comparison is based on published industry benchmarks used to justify the signal-grounded design, not a live A/B test on Tenacious-specific prospects. OUTBOUND_ENABLED=false in development means no real emails have been sent. The delta should be treated as directional. A 30-day pilot (Section 6) would produce the first live measurement.</w:t>
      </w:r>
    </w:p>
    <w:p>
      <w:pPr>
        <w:pStyle w:val="Heading2"/>
      </w:pPr>
      <w:r>
        <w:t>5. Public-Signal Lossiness of AI Maturity Scoring</w:t>
      </w:r>
    </w:p>
    <w:p>
      <w:pPr/>
      <w:r>
        <w:t>The AI maturity score (0–3) is computed from five public signals. Two systematic error modes are known:</w:t>
      </w:r>
    </w:p>
    <w:p>
      <w:pPr/>
      <w:r>
        <w:rPr>
          <w:b/>
        </w:rPr>
        <w:t>False Positive Mode (scores high, should score low)</w:t>
      </w:r>
    </w:p>
    <w:p>
      <w:pPr/>
      <w:r>
        <w:t>Archetype: an AI talent platform or staffing agency (e.g., a company whose product is matching AI engineers to clients). These firms have a high fraction of AI-adjacent job postings because they are recruiting for client placements, not building internal AI systems. They frequently have named 'AI Lead' or 'ML Director' roles posted permanently.</w:t>
      </w:r>
    </w:p>
    <w:p>
      <w:pPr/>
      <w:r>
        <w:t>Agent action: scores 2–3 → classified as Segment 4 capability-gap prospect → InsightAgent generates a competitor gap brief framing them as lagging top-quartile peers in AI adoption.</w:t>
      </w:r>
    </w:p>
    <w:p>
      <w:pPr/>
      <w:r>
        <w:t>Business impact: the prospect is either a competitor or a company that sells AI services; a Segment 4 gap brief is actively insulting to them. The thread is closed immediately, and the company may flag Tenacious as a low-quality sender to their network. The explicit constraint in seed/icp_definition.md ('Segment 4 pitch to a score-0 prospect damages brand') applies symmetrically to this case.</w:t>
      </w:r>
    </w:p>
    <w:p>
      <w:pPr/>
      <w:r>
        <w:rPr>
          <w:b/>
        </w:rPr>
        <w:t>False Negative Mode (scores low, should score high)</w:t>
      </w:r>
    </w:p>
    <w:p>
      <w:pPr/>
      <w:r>
        <w:t>Archetype: a deep-tech AI startup with a fully hired founding AI team. They have no open AI job postings (the team is already built), a closed-source model (no public GitHub activity), and minimal press coverage (stealth or pre-launch). GitHub activity signal is currently unimplemented (returns None; see probe PL-032).</w:t>
      </w:r>
    </w:p>
    <w:p>
      <w:pPr/>
      <w:r>
        <w:t>Agent action: scores 0 → abstains → sends only a generic exploratory email with no competitor gap brief. The gap brief is never generated.</w:t>
      </w:r>
    </w:p>
    <w:p>
      <w:pPr/>
      <w:r>
        <w:t>Business impact: the company that would benefit most from a Tenacious capability-extension pitch (Segment 4 at full confidence) is never pitched specifically. The system under-reaches the highest-value sub-population of Segment 4 prospects systematically. Implementing the GitHub activity signal (currently marked None in signal_computer.py) would partially address this.</w:t>
      </w:r>
    </w:p>
    <w:p>
      <w:pPr>
        <w:pStyle w:val="Heading2"/>
      </w:pPr>
      <w:r>
        <w:t>6. Pilot Recommendation: Segment 2, 30-Day Pilot</w:t>
      </w:r>
    </w:p>
    <w:p>
      <w:pPr/>
      <w:r>
        <w:t>Segment justification: Segment 2 (mid-market cost restructuring) is recommended over Segments 1, 3, and 4 for the initial pilot because: (1) the layoffs.fyi signal is the highest-quality and most verifiable of the four signal categories — layoff events are public, timestamped, and not subject to the AI-maturity scoring false-positive modes described above; (2) the buying moment is well-defined (120-day window post-layoff with active engineering hiring); (3) the cost-lever pitch angle has the strongest benchmark support in the discovery-to-proposal conversion data (30–50%, seed/baseline_numbers.md).</w:t>
      </w:r>
    </w:p>
    <w:tbl>
      <w:tblPr>
        <w:tblW w:type="auto" w:w="0"/>
        <w:tblLook w:firstColumn="1" w:firstRow="1" w:lastColumn="0" w:lastRow="0" w:noHBand="0" w:noVBand="1" w:val="04A0"/>
      </w:tblPr>
      <w:tblGrid>
        <w:gridCol w:w="5052"/>
        <w:gridCol w:w="5052"/>
      </w:tblGrid>
      <w:tr>
        <w:tc>
          <w:tcPr>
            <w:tcW w:type="dxa" w:w="5052"/>
          </w:tcPr>
          <w:p>
            <w:r>
              <w:t>Pilot Parameter</w:t>
            </w:r>
          </w:p>
        </w:tc>
        <w:tc>
          <w:tcPr>
            <w:tcW w:type="dxa" w:w="5052"/>
          </w:tcPr>
          <w:p>
            <w:r>
              <w:t>Value</w:t>
            </w:r>
          </w:p>
        </w:tc>
      </w:tr>
      <w:tr>
        <w:tc>
          <w:tcPr>
            <w:tcW w:type="dxa" w:w="5052"/>
          </w:tcPr>
          <w:p>
            <w:r>
              <w:t>Segment</w:t>
            </w:r>
          </w:p>
        </w:tc>
        <w:tc>
          <w:tcPr>
            <w:tcW w:type="dxa" w:w="5052"/>
          </w:tcPr>
          <w:p>
            <w:r>
              <w:t>Segment 2 — cost restructuring</w:t>
            </w:r>
          </w:p>
        </w:tc>
      </w:tr>
      <w:tr>
        <w:tc>
          <w:tcPr>
            <w:tcW w:type="dxa" w:w="5052"/>
          </w:tcPr>
          <w:p>
            <w:r>
              <w:t>Duration</w:t>
            </w:r>
          </w:p>
        </w:tc>
        <w:tc>
          <w:tcPr>
            <w:tcW w:type="dxa" w:w="5052"/>
          </w:tcPr>
          <w:p>
            <w:r>
              <w:t>30 days</w:t>
            </w:r>
          </w:p>
        </w:tc>
      </w:tr>
      <w:tr>
        <w:tc>
          <w:tcPr>
            <w:tcW w:type="dxa" w:w="5052"/>
          </w:tcPr>
          <w:p>
            <w:r>
              <w:t>Lead volume</w:t>
            </w:r>
          </w:p>
        </w:tc>
        <w:tc>
          <w:tcPr>
            <w:tcW w:type="dxa" w:w="5052"/>
          </w:tcPr>
          <w:p>
            <w:r>
              <w:t>150 leads per week (2.5× dev-scale SDR target)</w:t>
            </w:r>
          </w:p>
        </w:tc>
      </w:tr>
      <w:tr>
        <w:tc>
          <w:tcPr>
            <w:tcW w:type="dxa" w:w="5052"/>
          </w:tcPr>
          <w:p>
            <w:r>
              <w:t>Weekly budget</w:t>
            </w:r>
          </w:p>
        </w:tc>
        <w:tc>
          <w:tcPr>
            <w:tcW w:type="dxa" w:w="5052"/>
          </w:tcPr>
          <w:p>
            <w:r>
              <w:t>~$18/week all-in (LLM: $0.60, rig: $12, APIs: $0.38, buffer: $5)</w:t>
            </w:r>
          </w:p>
        </w:tc>
      </w:tr>
      <w:tr>
        <w:tc>
          <w:tcPr>
            <w:tcW w:type="dxa" w:w="5052"/>
          </w:tcPr>
          <w:p>
            <w:r>
              <w:t>Total 30-day budget</w:t>
            </w:r>
          </w:p>
        </w:tc>
        <w:tc>
          <w:tcPr>
            <w:tcW w:type="dxa" w:w="5052"/>
          </w:tcPr>
          <w:p>
            <w:r>
              <w:t>~$72</w:t>
            </w:r>
          </w:p>
        </w:tc>
      </w:tr>
      <w:tr>
        <w:tc>
          <w:tcPr>
            <w:tcW w:type="dxa" w:w="5052"/>
          </w:tcPr>
          <w:p>
            <w:r>
              <w:t>Success criterion</w:t>
            </w:r>
          </w:p>
        </w:tc>
        <w:tc>
          <w:tcPr>
            <w:tcW w:type="dxa" w:w="5052"/>
          </w:tcPr>
          <w:p>
            <w:r>
              <w:t>≥10% reply rate on signal-grounded Segment 2 outreach (vs 1–3% cold baseline) AND ≥20 discovery calls booked by Day 30, measured from HubSpot activity log and Langfuse trace count</w:t>
            </w:r>
          </w:p>
        </w:tc>
      </w:tr>
      <w:tr>
        <w:tc>
          <w:tcPr>
            <w:tcW w:type="dxa" w:w="5052"/>
          </w:tcPr>
          <w:p>
            <w:r>
              <w:t>Go / No-Go decision point</w:t>
            </w:r>
          </w:p>
        </w:tc>
        <w:tc>
          <w:tcPr>
            <w:tcW w:type="dxa" w:w="5052"/>
          </w:tcPr>
          <w:p>
            <w:r>
              <w:t>Day 15 interim check: if reply rate &lt; 5% across ≥300 delivered emails, pause and review signal quality before Day 30</w:t>
            </w:r>
          </w:p>
        </w:tc>
      </w:tr>
    </w:tbl>
    <w:p>
      <w:pPr>
        <w:pStyle w:val="Heading2"/>
      </w:pPr>
      <w:r>
        <w:t>7. Honest Unresolved Failure: Gap Over-Claiming</w:t>
      </w:r>
    </w:p>
    <w:p>
      <w:pPr/>
      <w:r>
        <w:t>The mechanism designed in method.md (multi-stage bench validation gate) addresses bench over-commitment (Category 3, trigger rate 11.3%). It does not address gap over-claiming (Category 10, trigger rate 21.7%).</w:t>
      </w:r>
    </w:p>
    <w:p>
      <w:pPr/>
      <w:r>
        <w:t>Specific failure (probe PL-033): InsightAgent's LLM call infers a competitive trend (e.g., 'all three of your top competitors have launched dedicated AI platform teams') from one or two weak peer evidence points. The gap_quality_self_check field is present in the output schema but its value is not enforced as a blocking condition by the calling code — a self-check of 'low' does not trigger a retry.</w:t>
      </w:r>
    </w:p>
    <w:p>
      <w:pPr/>
      <w:r>
        <w:t>Triggering conditions: InsightAgent receives fewer than 5 viable peers from load_companies_by_industry(), or the peers returned have no recent AI signals (all scores 0). The LLM generates gap findings from the partial data anyway, stating trends as if fully evidenced.</w:t>
      </w:r>
    </w:p>
    <w:p>
      <w:pPr/>
      <w:r>
        <w:t>Business impact if deployed: at a 21.7% trigger rate, approximately 1 in 5 Segment 4 gap briefs contains an unsupported competitive claim. Segment 4's primary buyer is a CTO with deep domain knowledge who will immediately recognise when a competitive intelligence claim is inflated or unsourced. Detection by an expert buyer permanently closes the thread and produces a negative brand signal. At 150 leads/week with ~40% qualifying as Segment 4, approximately 13 Segment 4 leads per week generate a gap brief; at 21.7% trigger rate, ~3 contain an unsupported claim per week. Even at conservative detection rates, this is a material source of wasted Segment 4 pipeline per month.</w:t>
      </w:r>
    </w:p>
    <w:p>
      <w:pPr/>
      <w:r>
        <w:t>Path to resolution (not implemented in this submission): enforce gap_quality_self_check as a BLOCK condition in GuardrailAgent, requiring InsightAgent to retry with a 'no gap finding' fallback when evidence count &lt; 2 per finding. This is a one-sprint fix with a clear acceptance test (PL-033 trigger rate drops to &lt; 5%).</w:t>
      </w:r>
    </w:p>
    <w:sectPr w:rsidR="00E40479" w:rsidSect="00085A10">
      <w:pgSz w:w="11904" w:h="17338"/>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___WRD_EMBED_SUB_311">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C82F28"/>
    <w:multiLevelType w:val="hybridMultilevel"/>
    <w:tmpl w:val="9D984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F627E"/>
    <w:multiLevelType w:val="hybridMultilevel"/>
    <w:tmpl w:val="5E3E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26F48"/>
    <w:multiLevelType w:val="hybridMultilevel"/>
    <w:tmpl w:val="68A2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B00055"/>
    <w:multiLevelType w:val="hybridMultilevel"/>
    <w:tmpl w:val="40E4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87431D"/>
    <w:multiLevelType w:val="hybridMultilevel"/>
    <w:tmpl w:val="F746C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A06492"/>
    <w:multiLevelType w:val="multilevel"/>
    <w:tmpl w:val="422E74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568689E"/>
    <w:multiLevelType w:val="hybridMultilevel"/>
    <w:tmpl w:val="2BACA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6"/>
  </w:num>
  <w:num w:numId="4">
    <w:abstractNumId w:val="4"/>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98D"/>
    <w:rsid w:val="0030667B"/>
    <w:rsid w:val="005B098D"/>
    <w:rsid w:val="006F442E"/>
    <w:rsid w:val="00AF48B8"/>
    <w:rsid w:val="00C3697C"/>
    <w:rsid w:val="00CA3D52"/>
    <w:rsid w:val="00DB242E"/>
    <w:rsid w:val="00E40479"/>
    <w:rsid w:val="00E65DB5"/>
    <w:rsid w:val="00EB1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777C33-0297-480B-AEE3-DAE302FA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09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369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B098D"/>
    <w:pPr>
      <w:autoSpaceDE w:val="0"/>
      <w:autoSpaceDN w:val="0"/>
      <w:adjustRightInd w:val="0"/>
      <w:spacing w:after="0" w:line="240" w:lineRule="auto"/>
    </w:pPr>
    <w:rPr>
      <w:rFonts w:ascii="___WRD_EMBED_SUB_311" w:hAnsi="___WRD_EMBED_SUB_311" w:cs="___WRD_EMBED_SUB_311"/>
      <w:color w:val="000000"/>
      <w:sz w:val="24"/>
      <w:szCs w:val="24"/>
    </w:rPr>
  </w:style>
  <w:style w:type="character" w:customStyle="1" w:styleId="Heading1Char">
    <w:name w:val="Heading 1 Char"/>
    <w:basedOn w:val="DefaultParagraphFont"/>
    <w:link w:val="Heading1"/>
    <w:uiPriority w:val="9"/>
    <w:rsid w:val="005B098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3697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A3D52"/>
    <w:pPr>
      <w:ind w:left="720"/>
      <w:contextualSpacing/>
    </w:pPr>
  </w:style>
  <w:style w:type="paragraph" w:styleId="TOCHeading">
    <w:name w:val="TOC Heading"/>
    <w:basedOn w:val="Heading1"/>
    <w:next w:val="Normal"/>
    <w:uiPriority w:val="39"/>
    <w:unhideWhenUsed/>
    <w:qFormat/>
    <w:rsid w:val="00E40479"/>
    <w:pPr>
      <w:outlineLvl w:val="9"/>
    </w:pPr>
  </w:style>
  <w:style w:type="paragraph" w:styleId="TOC1">
    <w:name w:val="toc 1"/>
    <w:basedOn w:val="Normal"/>
    <w:next w:val="Normal"/>
    <w:autoRedefine/>
    <w:uiPriority w:val="39"/>
    <w:unhideWhenUsed/>
    <w:rsid w:val="00E40479"/>
    <w:pPr>
      <w:spacing w:after="100"/>
    </w:pPr>
  </w:style>
  <w:style w:type="paragraph" w:styleId="TOC2">
    <w:name w:val="toc 2"/>
    <w:basedOn w:val="Normal"/>
    <w:next w:val="Normal"/>
    <w:autoRedefine/>
    <w:uiPriority w:val="39"/>
    <w:unhideWhenUsed/>
    <w:rsid w:val="00E40479"/>
    <w:pPr>
      <w:spacing w:after="100"/>
      <w:ind w:left="220"/>
    </w:pPr>
  </w:style>
  <w:style w:type="character" w:styleId="Hyperlink">
    <w:name w:val="Hyperlink"/>
    <w:basedOn w:val="DefaultParagraphFont"/>
    <w:uiPriority w:val="99"/>
    <w:unhideWhenUsed/>
    <w:rsid w:val="00E40479"/>
    <w:rPr>
      <w:color w:val="0563C1" w:themeColor="hyperlink"/>
      <w:u w:val="single"/>
    </w:rPr>
  </w:style>
  <w:style w:type="paragraph" w:styleId="Caption">
    <w:name w:val="caption"/>
    <w:basedOn w:val="Normal"/>
    <w:next w:val="Normal"/>
    <w:uiPriority w:val="35"/>
    <w:unhideWhenUsed/>
    <w:qFormat/>
    <w:rsid w:val="00E4047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4047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285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B8D8A-FEFC-4928-8C2A-D1E0203A2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2230</Words>
  <Characters>12715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dc:creator>
  <cp:keywords/>
  <dc:description/>
  <cp:lastModifiedBy>MOON</cp:lastModifiedBy>
  <cp:revision>4</cp:revision>
  <dcterms:created xsi:type="dcterms:W3CDTF">2026-04-22T22:30:00Z</dcterms:created>
  <dcterms:modified xsi:type="dcterms:W3CDTF">2026-04-23T15:46:00Z</dcterms:modified>
</cp:coreProperties>
</file>