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37C7" w14:textId="751F4F88" w:rsidR="00E26FF8" w:rsidRDefault="00B430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6FF8">
        <w:rPr>
          <w:rFonts w:ascii="Times New Roman" w:hAnsi="Times New Roman" w:cs="Times New Roman"/>
          <w:i/>
          <w:iCs/>
          <w:sz w:val="24"/>
          <w:szCs w:val="24"/>
        </w:rPr>
        <w:t xml:space="preserve">Age-specific pathogen transmissibility </w:t>
      </w:r>
    </w:p>
    <w:p w14:paraId="4D3AFA62" w14:textId="77777777" w:rsidR="00B6359B" w:rsidRPr="00E26FF8" w:rsidRDefault="00B6359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5B8FB64" w14:textId="026D27C8" w:rsidR="00B430EC" w:rsidRPr="00E26FF8" w:rsidRDefault="00B430EC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6FF8">
        <w:rPr>
          <w:rFonts w:ascii="Times New Roman" w:hAnsi="Times New Roman" w:cs="Times New Roman"/>
          <w:sz w:val="24"/>
          <w:szCs w:val="24"/>
        </w:rPr>
        <w:t xml:space="preserve">Here we consider three scenarios: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=1.25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=1.5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=1.75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a,t</m:t>
            </m:r>
          </m:sub>
        </m:sSub>
      </m:oMath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  <w:r w:rsidR="00B04AD3">
        <w:rPr>
          <w:rFonts w:ascii="Times New Roman" w:eastAsiaTheme="minorEastAsia" w:hAnsi="Times New Roman" w:cs="Times New Roman"/>
          <w:sz w:val="24"/>
          <w:szCs w:val="24"/>
        </w:rPr>
        <w:t xml:space="preserve">proportional to 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child and adult pathogen transmissibility</w:t>
      </w:r>
      <w:r w:rsidR="00E26FF8">
        <w:rPr>
          <w:rFonts w:ascii="Times New Roman" w:eastAsiaTheme="minorEastAsia" w:hAnsi="Times New Roman" w:cs="Times New Roman"/>
          <w:sz w:val="24"/>
          <w:szCs w:val="24"/>
        </w:rPr>
        <w:t xml:space="preserve"> at time </w:t>
      </w:r>
      <w:r w:rsidR="00E26FF8" w:rsidRPr="004C43CF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, respectively. </w:t>
      </w:r>
      <w:r w:rsidR="00427036" w:rsidRPr="00E26FF8">
        <w:rPr>
          <w:rFonts w:ascii="Times New Roman" w:eastAsiaTheme="minorEastAsia" w:hAnsi="Times New Roman" w:cs="Times New Roman"/>
          <w:sz w:val="24"/>
          <w:szCs w:val="24"/>
        </w:rPr>
        <w:t>Equation (1) can then be rewritten as:</w:t>
      </w:r>
    </w:p>
    <w:p w14:paraId="2038C2D2" w14:textId="06AFF695" w:rsidR="00427036" w:rsidRPr="00E26FF8" w:rsidRDefault="00DD26AC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~Poi</m:t>
        </m:r>
        <m:d>
          <m:dPr>
            <m:ctrlPr>
              <w:rPr>
                <w:rFonts w:ascii="Cambria Math" w:eastAsiaTheme="minorEastAsia" w:hAnsi="Cambria Math" w:cs="Times New Roman"/>
                <w:bCs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a,t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 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eff</m:t>
                        </m:r>
                      </m:sub>
                    </m:sSub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(c)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c,s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eff</m:t>
                        </m:r>
                      </m:sub>
                    </m:sSub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(a)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a,s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eff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(c)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c,s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eff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(a)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a,s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</m:oMath>
      <w:r w:rsidR="00427036" w:rsidRPr="00E26FF8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83316AD" w14:textId="1C6AD72F" w:rsidR="00427036" w:rsidRPr="00E26FF8" w:rsidRDefault="00427036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AC4F36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is the multiplicative factor</w:t>
      </w:r>
      <w:r w:rsidR="00242A2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1.25, 1.5, 1.75</m:t>
            </m:r>
          </m:e>
        </m:d>
      </m:oMath>
      <w:r w:rsidRPr="00E26FF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45CFE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The host types are assumed to have the same discrete serial interval distributions, i.e.,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{w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c,s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</m:sSubSup>
      </m:oMath>
      <w:r w:rsidR="00745CFE" w:rsidRPr="00445431">
        <w:rPr>
          <w:rFonts w:ascii="Times New Roman" w:eastAsiaTheme="minorEastAsia" w:hAnsi="Times New Roman" w:cs="Times New Roman"/>
          <w:bCs/>
          <w:i/>
          <w:sz w:val="24"/>
          <w:szCs w:val="24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{w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a,s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</m:sSubSup>
      </m:oMath>
      <w:r w:rsidR="00745CFE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>.</w:t>
      </w:r>
    </w:p>
    <w:p w14:paraId="21453580" w14:textId="153DA856" w:rsidR="00AC7432" w:rsidRPr="00E26FF8" w:rsidRDefault="00AC7432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The effective contact matrix is as before: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eff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11.17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5.51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29.71</m:t>
                  </m:r>
                </m:e>
              </m:mr>
            </m:m>
          </m:e>
        </m:d>
      </m:oMath>
      <w:r w:rsidRPr="00445431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5A60E301" w14:textId="1145B871" w:rsidR="00533EBE" w:rsidRPr="00E26FF8" w:rsidRDefault="00233695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>Having tested</w:t>
      </w:r>
      <w:r w:rsidR="00427036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the one-host and the two-host models for the thre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427036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scenarios with data being simulated by the two-host model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27036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we have discovered that</w:t>
      </w:r>
      <w:r w:rsidR="00594CD4">
        <w:rPr>
          <w:rFonts w:ascii="Times New Roman" w:eastAsiaTheme="minorEastAsia" w:hAnsi="Times New Roman" w:cs="Times New Roman"/>
          <w:sz w:val="24"/>
          <w:szCs w:val="24"/>
        </w:rPr>
        <w:t>, e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ven though the true value</w:t>
      </w:r>
      <w:r w:rsidR="00E26FF8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6FF8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E26FF8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stayed within the 95% credible intervals</w:t>
      </w:r>
      <w:r w:rsidR="00FE39C3">
        <w:rPr>
          <w:rFonts w:ascii="Times New Roman" w:eastAsiaTheme="minorEastAsia" w:hAnsi="Times New Roman" w:cs="Times New Roman"/>
          <w:sz w:val="24"/>
          <w:szCs w:val="24"/>
        </w:rPr>
        <w:t xml:space="preserve"> for the one-host model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, the two-host model</w:t>
      </w:r>
      <w:r w:rsidR="00CC6D6B">
        <w:rPr>
          <w:rFonts w:ascii="Times New Roman" w:eastAsiaTheme="minorEastAsia" w:hAnsi="Times New Roman" w:cs="Times New Roman"/>
          <w:sz w:val="24"/>
          <w:szCs w:val="24"/>
        </w:rPr>
        <w:t xml:space="preserve"> was slightly more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accurate </w:t>
      </w:r>
      <w:r w:rsidR="00FE39C3">
        <w:rPr>
          <w:rFonts w:ascii="Times New Roman" w:eastAsiaTheme="minorEastAsia" w:hAnsi="Times New Roman" w:cs="Times New Roman"/>
          <w:sz w:val="24"/>
          <w:szCs w:val="24"/>
        </w:rPr>
        <w:t>early on in the outbreak</w:t>
      </w:r>
      <w:r w:rsidR="00CC6D6B">
        <w:rPr>
          <w:rFonts w:ascii="Times New Roman" w:eastAsiaTheme="minorEastAsia" w:hAnsi="Times New Roman" w:cs="Times New Roman"/>
          <w:sz w:val="24"/>
          <w:szCs w:val="24"/>
        </w:rPr>
        <w:t xml:space="preserve"> as the difference between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="00CC6D6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="00CC6D6B">
        <w:rPr>
          <w:rFonts w:ascii="Times New Roman" w:eastAsiaTheme="minorEastAsia" w:hAnsi="Times New Roman" w:cs="Times New Roman"/>
          <w:sz w:val="24"/>
          <w:szCs w:val="24"/>
        </w:rPr>
        <w:t xml:space="preserve"> increased. </w:t>
      </w:r>
    </w:p>
    <w:p w14:paraId="2E8B9F74" w14:textId="7C761655" w:rsidR="00533EBE" w:rsidRPr="00E26FF8" w:rsidRDefault="00233695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We can also notice that the time-dependent reproduction numbers,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="00AC7432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proofErr w:type="spellStart"/>
      <w:r w:rsidRPr="00E26FF8">
        <w:rPr>
          <w:rFonts w:ascii="Times New Roman" w:eastAsiaTheme="minorEastAsia" w:hAnsi="Times New Roman" w:cs="Times New Roman"/>
          <w:sz w:val="24"/>
          <w:szCs w:val="24"/>
        </w:rPr>
        <w:t>nd</w:t>
      </w:r>
      <w:proofErr w:type="spellEnd"/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="00B04AD3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4AD3">
        <w:rPr>
          <w:rFonts w:ascii="Times New Roman" w:eastAsiaTheme="minorEastAsia" w:hAnsi="Times New Roman" w:cs="Times New Roman"/>
          <w:sz w:val="24"/>
          <w:szCs w:val="24"/>
        </w:rPr>
        <w:t>are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now reversed with</w:t>
      </w:r>
      <w:r w:rsidR="00AC7432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="00AC7432" w:rsidRPr="00E26FF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04AD3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B04AD3" w:rsidRPr="00445431">
        <w:rPr>
          <w:rFonts w:ascii="Times New Roman" w:eastAsiaTheme="minorEastAsia" w:hAnsi="Times New Roman" w:cs="Times New Roman"/>
          <w:i/>
          <w:iCs/>
          <w:sz w:val="24"/>
          <w:szCs w:val="24"/>
        </w:rPr>
        <w:t>k = 1.5</w:t>
      </w:r>
      <w:r w:rsidR="00B04AD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B04AD3" w:rsidRPr="00445431">
        <w:rPr>
          <w:rFonts w:ascii="Times New Roman" w:eastAsiaTheme="minorEastAsia" w:hAnsi="Times New Roman" w:cs="Times New Roman"/>
          <w:i/>
          <w:iCs/>
          <w:sz w:val="24"/>
          <w:szCs w:val="24"/>
        </w:rPr>
        <w:t>k=1.75</w:t>
      </w:r>
      <w:r w:rsidR="00B04AD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This is because, s</w:t>
      </w:r>
      <w:r w:rsidR="00533EBE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533EBE" w:rsidRPr="00E26FF8">
        <w:rPr>
          <w:rFonts w:ascii="Times New Roman" w:eastAsiaTheme="minorEastAsia" w:hAnsi="Times New Roman" w:cs="Times New Roman"/>
          <w:sz w:val="24"/>
          <w:szCs w:val="24"/>
        </w:rPr>
        <w:t>, the next generation matrix can be written as</w:t>
      </w:r>
    </w:p>
    <w:p w14:paraId="724DA7D5" w14:textId="05C24694" w:rsidR="007E20F5" w:rsidRDefault="00533EBE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233695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, i.e., </w:t>
      </w:r>
      <w:r w:rsidR="00745CFE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33695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, where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="00233695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is the dominant eigenvalue of </w:t>
      </w:r>
      <w:r w:rsid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233695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. </w:t>
      </w:r>
      <w:r w:rsidR="00AC7432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</w:p>
    <w:p w14:paraId="3A750349" w14:textId="77777777" w:rsidR="00242A27" w:rsidRDefault="00233695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>This gives</w:t>
      </w:r>
      <w:r w:rsidR="00745CFE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</w:p>
    <w:p w14:paraId="6CD64FA3" w14:textId="6E2DD891" w:rsidR="007E20F5" w:rsidRDefault="00DD26AC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k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eff 11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eff 12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eff 21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eff 22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for </m:t>
        </m:r>
        <m:r>
          <w:rPr>
            <w:rFonts w:ascii="Cambria Math" w:eastAsiaTheme="minorEastAsia" w:hAnsi="Cambria Math" w:cs="Times New Roman"/>
            <w:sz w:val="24"/>
            <w:szCs w:val="24"/>
          </w:rPr>
          <m:t>k=1.5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and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k=1.75 </m:t>
        </m:r>
      </m:oMath>
      <w:r w:rsidR="00AC7432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. </w:t>
      </w:r>
    </w:p>
    <w:p w14:paraId="78D9E31D" w14:textId="7CF8B8CB" w:rsidR="00233695" w:rsidRDefault="00745CFE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>The results are presented in Figure S1.</w:t>
      </w:r>
    </w:p>
    <w:p w14:paraId="11CCFE74" w14:textId="579C7CD7" w:rsidR="00E26FF8" w:rsidRDefault="00E26FF8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296E3879" w14:textId="77777777" w:rsidR="00BE5108" w:rsidRPr="00E26FF8" w:rsidRDefault="00BE5108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192B3633" w14:textId="5F0BB254" w:rsidR="00533EBE" w:rsidRPr="00E26FF8" w:rsidRDefault="004C43CF" w:rsidP="00533EBE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 w:rsidRPr="004C43CF">
        <w:rPr>
          <w:rFonts w:ascii="Times New Roman" w:eastAsiaTheme="minorEastAsia" w:hAnsi="Times New Roman" w:cs="Times New Roman"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5EC52046" wp14:editId="20C55BCF">
            <wp:extent cx="5953529" cy="28289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654" t="29117" r="3430" b="23808"/>
                    <a:stretch/>
                  </pic:blipFill>
                  <pic:spPr bwMode="auto">
                    <a:xfrm>
                      <a:off x="0" y="0"/>
                      <a:ext cx="5969326" cy="2836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CAA82" w14:textId="1165ABEF" w:rsidR="00AC7432" w:rsidRDefault="00AC7432" w:rsidP="00AC7432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b/>
          <w:i/>
          <w:iCs/>
          <w:sz w:val="24"/>
          <w:szCs w:val="24"/>
        </w:rPr>
        <w:t>Figure S1: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Estimates of the time-dependent reproduction numbers (R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  <w:vertAlign w:val="subscript"/>
        </w:rPr>
        <w:t>t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, R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  <w:vertAlign w:val="subscript"/>
        </w:rPr>
        <w:t xml:space="preserve">c,t 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, R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  <w:vertAlign w:val="subscript"/>
        </w:rPr>
        <w:t>a,t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) by the one-host and the two-host models with 95% credible intervals for R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  <w:vertAlign w:val="subscript"/>
        </w:rPr>
        <w:t>t</w:t>
      </w:r>
      <w:r w:rsidR="00984BE4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estimates: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  <w:r w:rsidRPr="00E26F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a)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= </w:t>
      </w:r>
      <w:r w:rsidR="004C43CF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1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  <w:r w:rsidR="00E666E6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2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5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, </w:t>
      </w:r>
      <w:r w:rsidRPr="00E26F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b)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= </w:t>
      </w:r>
      <w:r w:rsidR="004C43CF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1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.5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, </w:t>
      </w:r>
      <w:r w:rsidRPr="00E26F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c)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= </w:t>
      </w:r>
      <w:r w:rsidR="004C43CF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1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  <w:r w:rsidR="00E666E6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7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5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</w:p>
    <w:p w14:paraId="434F58F1" w14:textId="461F0CD1" w:rsidR="00B6359B" w:rsidRPr="00E26FF8" w:rsidRDefault="00B6359B" w:rsidP="00AC7432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</w:p>
    <w:p w14:paraId="3ADF152A" w14:textId="40762680" w:rsidR="00533EBE" w:rsidRPr="00533EBE" w:rsidRDefault="00533EBE" w:rsidP="00533EBE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</w:p>
    <w:p w14:paraId="5631C09C" w14:textId="1B3BB7B7" w:rsidR="00533EBE" w:rsidRDefault="00533EBE"/>
    <w:sectPr w:rsidR="00533EB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3DFC" w14:textId="77777777" w:rsidR="00DD26AC" w:rsidRDefault="00DD26AC" w:rsidP="00E26FF8">
      <w:pPr>
        <w:spacing w:after="0" w:line="240" w:lineRule="auto"/>
      </w:pPr>
      <w:r>
        <w:separator/>
      </w:r>
    </w:p>
  </w:endnote>
  <w:endnote w:type="continuationSeparator" w:id="0">
    <w:p w14:paraId="0B0C5EE2" w14:textId="77777777" w:rsidR="00DD26AC" w:rsidRDefault="00DD26AC" w:rsidP="00E26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806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89C442" w14:textId="603E9ADF" w:rsidR="00E26FF8" w:rsidRDefault="00E26F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04BC0F" w14:textId="77777777" w:rsidR="00E26FF8" w:rsidRDefault="00E2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ECA95" w14:textId="77777777" w:rsidR="00DD26AC" w:rsidRDefault="00DD26AC" w:rsidP="00E26FF8">
      <w:pPr>
        <w:spacing w:after="0" w:line="240" w:lineRule="auto"/>
      </w:pPr>
      <w:r>
        <w:separator/>
      </w:r>
    </w:p>
  </w:footnote>
  <w:footnote w:type="continuationSeparator" w:id="0">
    <w:p w14:paraId="26F178A7" w14:textId="77777777" w:rsidR="00DD26AC" w:rsidRDefault="00DD26AC" w:rsidP="00E26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EC"/>
    <w:rsid w:val="00233695"/>
    <w:rsid w:val="00242A27"/>
    <w:rsid w:val="002A2D7F"/>
    <w:rsid w:val="00427036"/>
    <w:rsid w:val="00445431"/>
    <w:rsid w:val="00456DDD"/>
    <w:rsid w:val="004C43CF"/>
    <w:rsid w:val="00533EBE"/>
    <w:rsid w:val="00594CD4"/>
    <w:rsid w:val="00745CFE"/>
    <w:rsid w:val="007467FB"/>
    <w:rsid w:val="007E20F5"/>
    <w:rsid w:val="00984BE4"/>
    <w:rsid w:val="00A25D1F"/>
    <w:rsid w:val="00AC4F36"/>
    <w:rsid w:val="00AC7432"/>
    <w:rsid w:val="00B04AD3"/>
    <w:rsid w:val="00B430EC"/>
    <w:rsid w:val="00B6359B"/>
    <w:rsid w:val="00BE5108"/>
    <w:rsid w:val="00CC6D6B"/>
    <w:rsid w:val="00DD26AC"/>
    <w:rsid w:val="00E26FF8"/>
    <w:rsid w:val="00E666E6"/>
    <w:rsid w:val="00EC241B"/>
    <w:rsid w:val="00FA37EB"/>
    <w:rsid w:val="00FC3C92"/>
    <w:rsid w:val="00FE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B6CB"/>
  <w15:chartTrackingRefBased/>
  <w15:docId w15:val="{241B9BEC-E4D2-458B-87F3-8BC7BE70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0E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26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FF8"/>
  </w:style>
  <w:style w:type="paragraph" w:styleId="Footer">
    <w:name w:val="footer"/>
    <w:basedOn w:val="Normal"/>
    <w:link w:val="FooterChar"/>
    <w:uiPriority w:val="99"/>
    <w:unhideWhenUsed/>
    <w:rsid w:val="00E26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Kim</dc:creator>
  <cp:keywords/>
  <dc:description/>
  <cp:lastModifiedBy>Diana Kim</cp:lastModifiedBy>
  <cp:revision>10</cp:revision>
  <dcterms:created xsi:type="dcterms:W3CDTF">2024-07-27T10:20:00Z</dcterms:created>
  <dcterms:modified xsi:type="dcterms:W3CDTF">2024-08-07T07:09:00Z</dcterms:modified>
</cp:coreProperties>
</file>