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jc w:val="center"/>
      </w:pPr>
      <w:r>
        <w:rPr>
          <w:rFonts w:ascii="Arial" w:cs="Arial" w:eastAsia="Arial" w:hAnsi="Arial"/>
          <w:sz w:val="72"/>
          <w:szCs w:val="72"/>
        </w:rPr>
        <w:t xml:space="preserve">⚡</w:t>
      </w:r>
    </w:p>
    <w:p>
      <w:pPr>
        <w:spacing w:after="120" w:before="240"/>
        <w:jc w:val="center"/>
      </w:pPr>
      <w:r>
        <w:rPr>
          <w:rFonts w:ascii="Arial" w:cs="Arial" w:eastAsia="Arial" w:hAnsi="Arial"/>
          <w:b/>
          <w:bCs/>
          <w:color w:val="1F3864"/>
          <w:sz w:val="56"/>
          <w:szCs w:val="56"/>
        </w:rPr>
        <w:t xml:space="preserve">VORTEX PROTOCOL</w:t>
      </w:r>
    </w:p>
    <w:p>
      <w:pPr>
        <w:spacing w:after="480" w:before="0"/>
        <w:jc w:val="center"/>
      </w:pPr>
      <w:r>
        <w:rPr>
          <w:rFonts w:ascii="Arial" w:cs="Arial" w:eastAsia="Arial" w:hAnsi="Arial"/>
          <w:color w:val="595959"/>
          <w:sz w:val="32"/>
          <w:szCs w:val="32"/>
        </w:rPr>
        <w:t xml:space="preserve">Smart Contract Security Assessment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18"/>
                <w:szCs w:val="18"/>
              </w:rPr>
              <w:t xml:space="preserve">Report Type:</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Internal Pre-Audit Review</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18"/>
                <w:szCs w:val="18"/>
              </w:rPr>
              <w:t xml:space="preserve">Version:</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Solidity 0.8.24</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18"/>
                <w:szCs w:val="18"/>
              </w:rPr>
              <w:t xml:space="preserve">Date:</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18"/>
                <w:szCs w:val="18"/>
              </w:rPr>
              <w:t xml:space="preserve">June 23, 2026</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95959"/>
                <w:sz w:val="18"/>
                <w:szCs w:val="18"/>
              </w:rPr>
              <w:t xml:space="preserve">Status:</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07000"/>
                <w:sz w:val="18"/>
                <w:szCs w:val="18"/>
              </w:rPr>
              <w:t xml:space="preserve">DRAFT — Pre-Independent Audit</w:t>
            </w:r>
          </w:p>
        </w:tc>
      </w:tr>
    </w:tbl>
    <w:p>
      <w:pPr>
        <w:spacing w:after="60" w:before="60"/>
      </w:pPr>
      <w:r>
        <w:t xml:space="preserve"/>
      </w:r>
    </w:p>
    <w:p>
      <w:pPr>
        <w:spacing w:after="60" w:before="60"/>
      </w:pPr>
      <w:r>
        <w:t xml:space="preserve"/>
      </w:r>
    </w:p>
    <w:p>
      <w:pPr>
        <w:jc w:val="center"/>
      </w:pPr>
      <w:r>
        <w:rPr>
          <w:rFonts w:ascii="Arial" w:cs="Arial" w:eastAsia="Arial" w:hAnsi="Arial"/>
          <w:color w:val="2E5FAD"/>
          <w:sz w:val="18"/>
          <w:szCs w:val="18"/>
        </w:rPr>
        <w:t xml:space="preserve">github.com/Estivalett/vortex-protocol</w:t>
      </w:r>
    </w:p>
    <w:p>
      <w:pPr>
        <w:pageBreakBefore/>
      </w:pPr>
      <w:r>
        <w:t xml:space="preserve"/>
      </w:r>
    </w:p>
    <w:p>
      <w:pPr>
        <w:pStyle w:val="Heading1"/>
        <w:spacing w:after="120" w:before="360"/>
      </w:pPr>
      <w:r>
        <w:rPr>
          <w:rFonts w:ascii="Arial" w:cs="Arial" w:eastAsia="Arial" w:hAnsi="Arial"/>
          <w:b/>
          <w:bCs/>
          <w:color w:val="1F3864"/>
          <w:sz w:val="28"/>
          <w:szCs w:val="28"/>
        </w:rPr>
        <w:t xml:space="preserve">1. Scope &amp; Methodology</w:t>
      </w:r>
    </w:p>
    <w:p>
      <w:pPr>
        <w:spacing w:after="80" w:before="80"/>
      </w:pPr>
      <w:r>
        <w:rPr>
          <w:rFonts w:ascii="Arial" w:cs="Arial" w:eastAsia="Arial" w:hAnsi="Arial"/>
          <w:sz w:val="20"/>
          <w:szCs w:val="20"/>
        </w:rPr>
        <w:t xml:space="preserve">This internal security assessment was performed on all smart contracts in the Vortex Protocol repository prior to engaging a third-party auditor. The goal is to identify known vulnerability classes, logic errors, and attack vectors before external review.</w:t>
      </w:r>
    </w:p>
    <w:p>
      <w:pPr>
        <w:spacing w:after="60" w:before="60"/>
      </w:pPr>
      <w:r>
        <w:t xml:space="preserve"/>
      </w:r>
    </w:p>
    <w:p>
      <w:pPr>
        <w:pStyle w:val="Heading2"/>
        <w:spacing w:after="80" w:before="240"/>
      </w:pPr>
      <w:r>
        <w:rPr>
          <w:rFonts w:ascii="Arial" w:cs="Arial" w:eastAsia="Arial" w:hAnsi="Arial"/>
          <w:b/>
          <w:bCs/>
          <w:color w:val="2E5FAD"/>
          <w:sz w:val="24"/>
          <w:szCs w:val="24"/>
        </w:rPr>
        <w:t xml:space="preserve">Contracts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Contract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Lines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VTX.sol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82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ERC-20 token — 1B fixed supply, Permit, Votes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VortexIntent.sol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220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EIP-712 intent struct, storage, and event definitions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VortexRouter.sol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388</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Core routing — intent submission, fill, cancel, expire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VortexStaking.sol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352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Solver staking, revenue distribution, slashing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VortexGovernor.sol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~80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On-chain governance (OpenZeppelin Governor)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VortexTimelock.sol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18"/>
                <w:szCs w:val="18"/>
              </w:rPr>
              <w:t xml:space="preserve">~40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48-hour timelock for governance 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VortexTreasury.sol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18"/>
                <w:szCs w:val="18"/>
              </w:rPr>
              <w:t xml:space="preserve">170</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Protocol treasury — governance-controlled withdrawals</w:t>
            </w:r>
          </w:p>
        </w:tc>
      </w:tr>
    </w:tbl>
    <w:p>
      <w:pPr>
        <w:spacing w:after="60" w:before="60"/>
      </w:pPr>
      <w:r>
        <w:t xml:space="preserve"/>
      </w:r>
    </w:p>
    <w:p>
      <w:pPr>
        <w:pStyle w:val="Heading2"/>
        <w:spacing w:after="80" w:before="240"/>
      </w:pPr>
      <w:r>
        <w:rPr>
          <w:rFonts w:ascii="Arial" w:cs="Arial" w:eastAsia="Arial" w:hAnsi="Arial"/>
          <w:b/>
          <w:bCs/>
          <w:color w:val="2E5FAD"/>
          <w:sz w:val="24"/>
          <w:szCs w:val="24"/>
        </w:rPr>
        <w:t xml:space="preserve">Methodology</w:t>
      </w:r>
    </w:p>
    <w:p>
      <w:pPr>
        <w:spacing w:after="80" w:before="80"/>
      </w:pPr>
      <w:r>
        <w:rPr>
          <w:rFonts w:ascii="Arial" w:cs="Arial" w:eastAsia="Arial" w:hAnsi="Arial"/>
          <w:sz w:val="20"/>
          <w:szCs w:val="20"/>
        </w:rPr>
        <w:t xml:space="preserve">Manual line-by-line code review of all contracts. Attack vectors tested:</w:t>
      </w:r>
    </w:p>
    <w:p>
      <w:pPr>
        <w:pStyle w:val="ListParagraph"/>
        <w:numPr>
          <w:ilvl w:val="0"/>
          <w:numId w:val="2"/>
        </w:numPr>
        <w:spacing w:after="40" w:before="40"/>
      </w:pPr>
      <w:r>
        <w:rPr>
          <w:rFonts w:ascii="Arial" w:cs="Arial" w:eastAsia="Arial" w:hAnsi="Arial"/>
          <w:sz w:val="20"/>
          <w:szCs w:val="20"/>
        </w:rPr>
        <w:t xml:space="preserve">Reentrancy and cross-function reentrancy</w:t>
      </w:r>
    </w:p>
    <w:p>
      <w:pPr>
        <w:pStyle w:val="ListParagraph"/>
        <w:numPr>
          <w:ilvl w:val="0"/>
          <w:numId w:val="2"/>
        </w:numPr>
        <w:spacing w:after="40" w:before="40"/>
      </w:pPr>
      <w:r>
        <w:rPr>
          <w:rFonts w:ascii="Arial" w:cs="Arial" w:eastAsia="Arial" w:hAnsi="Arial"/>
          <w:sz w:val="20"/>
          <w:szCs w:val="20"/>
        </w:rPr>
        <w:t xml:space="preserve">Integer overflow/underflow (Solidity 0.8.x built-in protection)</w:t>
      </w:r>
    </w:p>
    <w:p>
      <w:pPr>
        <w:pStyle w:val="ListParagraph"/>
        <w:numPr>
          <w:ilvl w:val="0"/>
          <w:numId w:val="2"/>
        </w:numPr>
        <w:spacing w:after="40" w:before="40"/>
      </w:pPr>
      <w:r>
        <w:rPr>
          <w:rFonts w:ascii="Arial" w:cs="Arial" w:eastAsia="Arial" w:hAnsi="Arial"/>
          <w:sz w:val="20"/>
          <w:szCs w:val="20"/>
        </w:rPr>
        <w:t xml:space="preserve">Signature replay and EIP-712 domain separation</w:t>
      </w:r>
    </w:p>
    <w:p>
      <w:pPr>
        <w:pStyle w:val="ListParagraph"/>
        <w:numPr>
          <w:ilvl w:val="0"/>
          <w:numId w:val="2"/>
        </w:numPr>
        <w:spacing w:after="40" w:before="40"/>
      </w:pPr>
      <w:r>
        <w:rPr>
          <w:rFonts w:ascii="Arial" w:cs="Arial" w:eastAsia="Arial" w:hAnsi="Arial"/>
          <w:sz w:val="20"/>
          <w:szCs w:val="20"/>
        </w:rPr>
        <w:t xml:space="preserve">Access control and privilege escalation</w:t>
      </w:r>
    </w:p>
    <w:p>
      <w:pPr>
        <w:pStyle w:val="ListParagraph"/>
        <w:numPr>
          <w:ilvl w:val="0"/>
          <w:numId w:val="2"/>
        </w:numPr>
        <w:spacing w:after="40" w:before="40"/>
      </w:pPr>
      <w:r>
        <w:rPr>
          <w:rFonts w:ascii="Arial" w:cs="Arial" w:eastAsia="Arial" w:hAnsi="Arial"/>
          <w:sz w:val="20"/>
          <w:szCs w:val="20"/>
        </w:rPr>
        <w:t xml:space="preserve">Economic exploits: fee evasion, reward manipulation</w:t>
      </w:r>
    </w:p>
    <w:p>
      <w:pPr>
        <w:pStyle w:val="ListParagraph"/>
        <w:numPr>
          <w:ilvl w:val="0"/>
          <w:numId w:val="2"/>
        </w:numPr>
        <w:spacing w:after="40" w:before="40"/>
      </w:pPr>
      <w:r>
        <w:rPr>
          <w:rFonts w:ascii="Arial" w:cs="Arial" w:eastAsia="Arial" w:hAnsi="Arial"/>
          <w:sz w:val="20"/>
          <w:szCs w:val="20"/>
        </w:rPr>
        <w:t xml:space="preserve">Centralization and governance attack vectors</w:t>
      </w:r>
    </w:p>
    <w:p>
      <w:pPr>
        <w:pStyle w:val="ListParagraph"/>
        <w:numPr>
          <w:ilvl w:val="0"/>
          <w:numId w:val="2"/>
        </w:numPr>
        <w:spacing w:after="40" w:before="40"/>
      </w:pPr>
      <w:r>
        <w:rPr>
          <w:rFonts w:ascii="Arial" w:cs="Arial" w:eastAsia="Arial" w:hAnsi="Arial"/>
          <w:sz w:val="20"/>
          <w:szCs w:val="20"/>
        </w:rPr>
        <w:t xml:space="preserve">Cross-chain trust assumptions</w:t>
      </w:r>
    </w:p>
    <w:p>
      <w:pPr>
        <w:pStyle w:val="ListParagraph"/>
        <w:numPr>
          <w:ilvl w:val="0"/>
          <w:numId w:val="2"/>
        </w:numPr>
        <w:spacing w:after="40" w:before="40"/>
      </w:pPr>
      <w:r>
        <w:rPr>
          <w:rFonts w:ascii="Arial" w:cs="Arial" w:eastAsia="Arial" w:hAnsi="Arial"/>
          <w:sz w:val="20"/>
          <w:szCs w:val="20"/>
        </w:rPr>
        <w:t xml:space="preserve">Arithmetic precision and rounding errors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2.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5220"/>
        <w:gridCol w:w="18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5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Contract</w:t>
            </w:r>
          </w:p>
        </w:tc>
      </w:tr>
      <w:tr>
        <w:tc>
          <w:tcPr>
            <w:tcW w:type="dxa" w:w="9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VTX-01</w:t>
            </w:r>
          </w:p>
        </w:tc>
        <w:tc>
          <w:tcPr>
            <w:tcW w:type="dxa" w:w="144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Double fee reduction — stakers receive 49% instead of 70% of intended rewards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VortexStaking.sol</w:t>
            </w:r>
          </w:p>
        </w:tc>
      </w:tr>
      <w:tr>
        <w:tc>
          <w:tcPr>
            <w:tcW w:type="dxa" w:w="90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VTX-02</w:t>
            </w:r>
          </w:p>
        </w:tc>
        <w:tc>
          <w:tcPr>
            <w:tcW w:type="dxa" w:w="1440"/>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Cross-chain delivery not enforced on-chain — solver trust assumption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VortexRouter.sol</w:t>
            </w:r>
          </w:p>
        </w:tc>
      </w:tr>
      <w:tr>
        <w:tc>
          <w:tcPr>
            <w:tcW w:type="dxa" w:w="900"/>
            <w:tcBorders>
              <w:top w:val="single" w:color="CCCCCC" w:sz="1"/>
              <w:left w:val="single" w:color="CCCCCC" w:sz="1"/>
              <w:bottom w:val="single" w:color="CCCCCC" w:sz="1"/>
              <w:right w:val="single" w:color="CCCCCC" w:sz="1"/>
            </w:tcBorders>
            <w:shd w:fill="C07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VTX-03</w:t>
            </w:r>
          </w:p>
        </w:tc>
        <w:tc>
          <w:tcPr>
            <w:tcW w:type="dxa" w:w="1440"/>
            <w:tcBorders>
              <w:top w:val="single" w:color="CCCCCC" w:sz="1"/>
              <w:left w:val="single" w:color="CCCCCC" w:sz="1"/>
              <w:bottom w:val="single" w:color="CCCCCC" w:sz="1"/>
              <w:right w:val="single" w:color="CCCCCC" w:sz="1"/>
            </w:tcBorders>
            <w:shd w:fill="C07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Unstake cooldown reset bug — earlier queued amounts get cooldown extended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VortexStaking.sol</w:t>
            </w:r>
          </w:p>
        </w:tc>
      </w:tr>
      <w:tr>
        <w:tc>
          <w:tcPr>
            <w:tcW w:type="dxa" w:w="900"/>
            <w:tcBorders>
              <w:top w:val="single" w:color="CCCCCC" w:sz="1"/>
              <w:left w:val="single" w:color="CCCCCC" w:sz="1"/>
              <w:bottom w:val="single" w:color="CCCCCC" w:sz="1"/>
              <w:right w:val="single" w:color="CCCCCC" w:sz="1"/>
            </w:tcBorders>
            <w:shd w:fill="C07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VTX-04</w:t>
            </w:r>
          </w:p>
        </w:tc>
        <w:tc>
          <w:tcPr>
            <w:tcW w:type="dxa" w:w="1440"/>
            <w:tcBorders>
              <w:top w:val="single" w:color="CCCCCC" w:sz="1"/>
              <w:left w:val="single" w:color="CCCCCC" w:sz="1"/>
              <w:bottom w:val="single" w:color="CCCCCC" w:sz="1"/>
              <w:right w:val="single" w:color="CCCCCC" w:sz="1"/>
            </w:tcBorders>
            <w:shd w:fill="C07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recordDeposit() is unguarded — anyone can inflate totalReceived counter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VortexTreasury.sol</w:t>
            </w:r>
          </w:p>
        </w:tc>
      </w:tr>
      <w:tr>
        <w:tc>
          <w:tcPr>
            <w:tcW w:type="dxa" w:w="900"/>
            <w:tcBorders>
              <w:top w:val="single" w:color="CCCCCC" w:sz="1"/>
              <w:left w:val="single" w:color="CCCCCC" w:sz="1"/>
              <w:bottom w:val="single" w:color="CCCCCC" w:sz="1"/>
              <w:right w:val="single" w:color="CCCCCC" w:sz="1"/>
            </w:tcBorders>
            <w:shd w:fill="C07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VTX-05</w:t>
            </w:r>
          </w:p>
        </w:tc>
        <w:tc>
          <w:tcPr>
            <w:tcW w:type="dxa" w:w="1440"/>
            <w:tcBorders>
              <w:top w:val="single" w:color="CCCCCC" w:sz="1"/>
              <w:left w:val="single" w:color="CCCCCC" w:sz="1"/>
              <w:bottom w:val="single" w:color="CCCCCC" w:sz="1"/>
              <w:right w:val="single" w:color="CCCCCC" w:sz="1"/>
            </w:tcBorders>
            <w:shd w:fill="C07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rewardToken can be changed mid-stream — breaks pending reward claims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VortexStaking.sol</w:t>
            </w:r>
          </w:p>
        </w:tc>
      </w:tr>
      <w:tr>
        <w:tc>
          <w:tcPr>
            <w:tcW w:type="dxa" w:w="900"/>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VTX-06</w:t>
            </w:r>
          </w:p>
        </w:tc>
        <w:tc>
          <w:tcPr>
            <w:tcW w:type="dxa" w:w="1440"/>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Fee evasion via dust amounts — inputAmount &lt; 2000 wei pays zero fee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VortexRouter.sol</w:t>
            </w:r>
          </w:p>
        </w:tc>
      </w:tr>
      <w:tr>
        <w:tc>
          <w:tcPr>
            <w:tcW w:type="dxa" w:w="900"/>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VTX-07</w:t>
            </w:r>
          </w:p>
        </w:tc>
        <w:tc>
          <w:tcPr>
            <w:tcW w:type="dxa" w:w="1440"/>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 maximum deadline enforcement — intents can live indefinitely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VortexRouter.sol</w:t>
            </w:r>
          </w:p>
        </w:tc>
      </w:tr>
      <w:tr>
        <w:tc>
          <w:tcPr>
            <w:tcW w:type="dxa" w:w="900"/>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VTX-08</w:t>
            </w:r>
          </w:p>
        </w:tc>
        <w:tc>
          <w:tcPr>
            <w:tcW w:type="dxa" w:w="1440"/>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totalReceived not decremented on withdrawal — misleading accounting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VortexTreasury.sol</w:t>
            </w:r>
          </w:p>
        </w:tc>
      </w:tr>
      <w:tr>
        <w:tc>
          <w:tcPr>
            <w:tcW w:type="dxa" w:w="9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VTX-09</w:t>
            </w:r>
          </w:p>
        </w:tc>
        <w:tc>
          <w:tcPr>
            <w:tcW w:type="dxa" w:w="144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 minOutput floor validation — user can accidentally set minOutput=1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VortexRouter.sol</w:t>
            </w:r>
          </w:p>
        </w:tc>
      </w:tr>
      <w:tr>
        <w:tc>
          <w:tcPr>
            <w:tcW w:type="dxa" w:w="9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VTX-10</w:t>
            </w:r>
          </w:p>
        </w:tc>
        <w:tc>
          <w:tcPr>
            <w:tcW w:type="dxa" w:w="144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INFO</w:t>
            </w:r>
          </w:p>
        </w:tc>
        <w:tc>
          <w:tcPr>
            <w:tcW w:type="dxa" w:w="5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Governance acquisition attack — majority VTX stake controls all parameters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95959"/>
                <w:sz w:val="16"/>
                <w:szCs w:val="16"/>
              </w:rPr>
              <w:t xml:space="preserve">VortexGovernor.sol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CRITICAL</w:t>
            </w:r>
          </w:p>
        </w:tc>
        <w:tc>
          <w:tcPr>
            <w:tcW w:type="dxa" w:w="1872"/>
            <w:tcBorders>
              <w:top w:val="single" w:color="CCCCCC" w:sz="1"/>
              <w:left w:val="single" w:color="CCCCCC" w:sz="1"/>
              <w:bottom w:val="single" w:color="CCCCCC" w:sz="1"/>
              <w:right w:val="single" w:color="CCCCCC" w:sz="1"/>
            </w:tcBorders>
            <w:shd w:fill="E36C0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HIGH</w:t>
            </w:r>
          </w:p>
        </w:tc>
        <w:tc>
          <w:tcPr>
            <w:tcW w:type="dxa" w:w="1872"/>
            <w:tcBorders>
              <w:top w:val="single" w:color="CCCCCC" w:sz="1"/>
              <w:left w:val="single" w:color="CCCCCC" w:sz="1"/>
              <w:bottom w:val="single" w:color="CCCCCC" w:sz="1"/>
              <w:right w:val="single" w:color="CCCCCC" w:sz="1"/>
            </w:tcBorders>
            <w:shd w:fill="C070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MEDIUM</w:t>
            </w:r>
          </w:p>
        </w:tc>
        <w:tc>
          <w:tcPr>
            <w:tcW w:type="dxa" w:w="1872"/>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LOW</w:t>
            </w:r>
          </w:p>
        </w:tc>
        <w:tc>
          <w:tcPr>
            <w:tcW w:type="dxa" w:w="1872"/>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INFO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8"/>
                <w:szCs w:val="28"/>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8"/>
                <w:szCs w:val="2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8"/>
                <w:szCs w:val="28"/>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8"/>
                <w:szCs w:val="28"/>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8"/>
                <w:szCs w:val="28"/>
              </w:rPr>
              <w:t xml:space="preserve">2</w:t>
            </w:r>
          </w:p>
        </w:tc>
      </w:tr>
    </w:tbl>
    <w:p>
      <w:pPr>
        <w:pageBreakBefore/>
      </w:pPr>
      <w:r>
        <w:t xml:space="preserve"/>
      </w:r>
    </w:p>
    <w:p>
      <w:pPr>
        <w:pStyle w:val="Heading1"/>
        <w:spacing w:after="120" w:before="360"/>
      </w:pPr>
      <w:r>
        <w:rPr>
          <w:rFonts w:ascii="Arial" w:cs="Arial" w:eastAsia="Arial" w:hAnsi="Arial"/>
          <w:b/>
          <w:bCs/>
          <w:color w:val="1F3864"/>
          <w:sz w:val="28"/>
          <w:szCs w:val="28"/>
        </w:rPr>
        <w:t xml:space="preserve">3. Detailed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36C0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VTX-01</w:t>
            </w:r>
          </w:p>
          <w:p>
            <w:pPr>
              <w:jc w:val="center"/>
            </w:pPr>
            <w:r>
              <w:rPr>
                <w:rFonts w:ascii="Arial" w:cs="Arial" w:eastAsia="Arial" w:hAnsi="Arial"/>
                <w:b/>
                <w:bCs/>
                <w:color w:val="FFFFFF"/>
                <w:sz w:val="16"/>
                <w:szCs w:val="16"/>
              </w:rPr>
              <w:t xml:space="preserve">HIGH</w:t>
            </w:r>
          </w:p>
        </w:tc>
        <w:tc>
          <w:tcPr>
            <w:tcW w:type="dxa" w:w="7920"/>
            <w:tcBorders>
              <w:top w:val="single" w:color="CCCCCC" w:sz="1"/>
              <w:left w:val="single" w:color="CCCCCC" w:sz="1"/>
              <w:bottom w:val="single" w:color="CCCCCC" w:sz="1"/>
              <w:right w:val="single" w:color="CCCCCC" w:sz="1"/>
            </w:tcBorders>
            <w:shd w:fill="FFE0CC" w:val="clear"/>
            <w:tcMar>
              <w:top w:type="dxa" w:w="100"/>
              <w:left w:type="dxa" w:w="200"/>
              <w:bottom w:type="dxa" w:w="100"/>
              <w:right w:type="dxa" w:w="120"/>
            </w:tcMar>
          </w:tcPr>
          <w:p>
            <w:r>
              <w:rPr>
                <w:rFonts w:ascii="Arial" w:cs="Arial" w:eastAsia="Arial" w:hAnsi="Arial"/>
                <w:b/>
                <w:bCs/>
                <w:sz w:val="22"/>
                <w:szCs w:val="22"/>
              </w:rPr>
              <w:t xml:space="preserve">Double Fee Reduction — Stakers Receive 49% of Intended Rewards</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VortexStaking.sol + VortexRouter.sol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In VortexRouter.fillIntent(), the fee is split: stakingPortion = fee * 70% = 0.7 * fee. This amount is transferred to VortexStaking. However, inside distributeRevenue(), Staking applies STAKER_SHARE_BPS (70%) AGAIN to the received amount: stakerPortion = stakingPortion * 70% = 0.49 * originalFee. The remaining 21% of the intended staker revenue (30% of what was sent) accumulates in the Staking contract with no recovery mechanism — effectively locked forever.</w:t>
      </w:r>
    </w:p>
    <w:p>
      <w:pPr>
        <w:spacing w:after="60" w:before="60"/>
      </w:pPr>
      <w:r>
        <w:t xml:space="preserve"/>
      </w:r>
    </w:p>
    <w:p>
      <w:pPr>
        <w:spacing w:after="80" w:before="80"/>
      </w:pPr>
      <w:r>
        <w:rPr>
          <w:rFonts w:ascii="Arial" w:cs="Arial" w:eastAsia="Arial" w:hAnsi="Arial"/>
          <w:b/>
          <w:bCs/>
          <w:sz w:val="20"/>
          <w:szCs w:val="20"/>
        </w:rPr>
        <w:t xml:space="preserve">Vulnerable Code</w:t>
      </w:r>
    </w:p>
    <w:p>
      <w:pPr>
        <w:spacing w:after="60" w:before="60"/>
        <w:ind w:left="720"/>
      </w:pPr>
      <w:r>
        <w:rPr>
          <w:rFonts w:ascii="Courier New" w:cs="Courier New" w:eastAsia="Courier New" w:hAnsi="Courier New"/>
          <w:color w:val="C7254E"/>
          <w:sz w:val="18"/>
          <w:szCs w:val="18"/>
        </w:rPr>
        <w:t xml:space="preserve">// VortexRouter.fillIntent() sends:</w:t>
      </w:r>
    </w:p>
    <w:p>
      <w:pPr>
        <w:spacing w:after="60" w:before="60"/>
        <w:ind w:left="720"/>
      </w:pPr>
      <w:r>
        <w:rPr>
          <w:rFonts w:ascii="Courier New" w:cs="Courier New" w:eastAsia="Courier New" w:hAnsi="Courier New"/>
          <w:color w:val="C7254E"/>
          <w:sz w:val="18"/>
          <w:szCs w:val="18"/>
        </w:rPr>
        <w:t xml:space="preserve">uint256 stakingPortion = (fee * 7000) / 10000; // = 70% of fee</w:t>
      </w:r>
    </w:p>
    <w:p>
      <w:pPr>
        <w:spacing w:after="60" w:before="60"/>
        <w:ind w:left="720"/>
      </w:pPr>
      <w:r>
        <w:rPr>
          <w:rFonts w:ascii="Courier New" w:cs="Courier New" w:eastAsia="Courier New" w:hAnsi="Courier New"/>
          <w:color w:val="C7254E"/>
          <w:sz w:val="18"/>
          <w:szCs w:val="18"/>
        </w:rPr>
        <w:t xml:space="preserve">IERC20(...).safeTransfer(address(staking), stakingPortion);</w:t>
      </w:r>
    </w:p>
    <w:p>
      <w:pPr>
        <w:spacing w:after="60" w:before="60"/>
        <w:ind w:left="720"/>
      </w:pPr>
      <w:r>
        <w:rPr>
          <w:rFonts w:ascii="Courier New" w:cs="Courier New" w:eastAsia="Courier New" w:hAnsi="Courier New"/>
          <w:color w:val="C7254E"/>
          <w:sz w:val="18"/>
          <w:szCs w:val="18"/>
        </w:rPr>
        <w:t xml:space="preserve">staking.distributeRevenue(stakingPortion);</w:t>
      </w:r>
    </w:p>
    <w:p>
      <w:pPr>
        <w:spacing w:after="60" w:before="60"/>
        <w:ind w:left="720"/>
      </w:pPr>
      <w:r>
        <w:rPr>
          <w:rFonts w:ascii="Courier New" w:cs="Courier New" w:eastAsia="Courier New" w:hAnsi="Courier New"/>
          <w:color w:val="C7254E"/>
          <w:sz w:val="18"/>
          <w:szCs w:val="18"/>
        </w:rPr>
        <w:t xml:space="preserve"/>
      </w:r>
    </w:p>
    <w:p>
      <w:pPr>
        <w:spacing w:after="60" w:before="60"/>
        <w:ind w:left="720"/>
      </w:pPr>
      <w:r>
        <w:rPr>
          <w:rFonts w:ascii="Courier New" w:cs="Courier New" w:eastAsia="Courier New" w:hAnsi="Courier New"/>
          <w:color w:val="C7254E"/>
          <w:sz w:val="18"/>
          <w:szCs w:val="18"/>
        </w:rPr>
        <w:t xml:space="preserve">// VortexStaking.distributeRevenue() then applies 70% AGAIN:</w:t>
      </w:r>
    </w:p>
    <w:p>
      <w:pPr>
        <w:spacing w:after="60" w:before="60"/>
        <w:ind w:left="720"/>
      </w:pPr>
      <w:r>
        <w:rPr>
          <w:rFonts w:ascii="Courier New" w:cs="Courier New" w:eastAsia="Courier New" w:hAnsi="Courier New"/>
          <w:color w:val="C7254E"/>
          <w:sz w:val="18"/>
          <w:szCs w:val="18"/>
        </w:rPr>
        <w:t xml:space="preserve">uint256 stakerPortion = (amount * 7000) / 10000; // = 49% of original</w:t>
      </w:r>
    </w:p>
    <w:p>
      <w:pPr>
        <w:spacing w:after="60" w:before="60"/>
        <w:ind w:left="720"/>
      </w:pPr>
      <w:r>
        <w:rPr>
          <w:rFonts w:ascii="Courier New" w:cs="Courier New" w:eastAsia="Courier New" w:hAnsi="Courier New"/>
          <w:color w:val="C7254E"/>
          <w:sz w:val="18"/>
          <w:szCs w:val="18"/>
        </w:rPr>
        <w:t xml:space="preserve">// → 21% is locked in contract with no withdrawal path</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Stakers receive only 49% of the fees the protocol intends for them. 21% of total fees become permanently unreachable. As volume scales, this creates an ever-growing pool of locked tokens that belongs to no one.</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Remove the STAKER_SHARE_BPS multiplication inside distributeRevenue(), since the Router has already applied it. Alternatively, have the Router send the FULL fee to Staking and let Staking split all portions internally. Choose one authority for the split calculation, not both.</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36C0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VTX-02</w:t>
            </w:r>
          </w:p>
          <w:p>
            <w:pPr>
              <w:jc w:val="center"/>
            </w:pPr>
            <w:r>
              <w:rPr>
                <w:rFonts w:ascii="Arial" w:cs="Arial" w:eastAsia="Arial" w:hAnsi="Arial"/>
                <w:b/>
                <w:bCs/>
                <w:color w:val="FFFFFF"/>
                <w:sz w:val="16"/>
                <w:szCs w:val="16"/>
              </w:rPr>
              <w:t xml:space="preserve">HIGH</w:t>
            </w:r>
          </w:p>
        </w:tc>
        <w:tc>
          <w:tcPr>
            <w:tcW w:type="dxa" w:w="7920"/>
            <w:tcBorders>
              <w:top w:val="single" w:color="CCCCCC" w:sz="1"/>
              <w:left w:val="single" w:color="CCCCCC" w:sz="1"/>
              <w:bottom w:val="single" w:color="CCCCCC" w:sz="1"/>
              <w:right w:val="single" w:color="CCCCCC" w:sz="1"/>
            </w:tcBorders>
            <w:shd w:fill="FFE0CC" w:val="clear"/>
            <w:tcMar>
              <w:top w:type="dxa" w:w="100"/>
              <w:left w:type="dxa" w:w="200"/>
              <w:bottom w:type="dxa" w:w="100"/>
              <w:right w:type="dxa" w:w="120"/>
            </w:tcMar>
          </w:tcPr>
          <w:p>
            <w:r>
              <w:rPr>
                <w:rFonts w:ascii="Arial" w:cs="Arial" w:eastAsia="Arial" w:hAnsi="Arial"/>
                <w:b/>
                <w:bCs/>
                <w:sz w:val="22"/>
                <w:szCs w:val="22"/>
              </w:rPr>
              <w:t xml:space="preserve">Cross-Chain Delivery Not Enforced On-Chain</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VortexRouter.sol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The protocol is designed for cross-chain routing (sourceChain != destChain). However, fillIntent() calls IERC20(intent.outputToken).safeTransferFrom(msg.sender, intent.user, actualOutput) — this pulls outputToken from the solver's balance on the SAME chain as the router contract. There is no cryptographic proof or oracle verification that the solver actually delivered funds on the destination chain. A solver could theoretically execute fillIntent() and receive netInput tokens without ever delivering on the remote chain.</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In a cross-chain scenario, a malicious or failed solver can take the user's input tokens and not deliver on the destination chain. While the slashing mechanism (governance-controlled) is a deterrent, it: (1) requires a governance vote taking 48+ hours, (2) requires verifiable on-chain evidence of misbehavior, and (3) cannot guarantee the user recovers their funds quickly. This is the single largest systemic risk in the protocol.</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For a true cross-chain protocol, consider: (1) Integrating a cross-chain messaging layer (LayerZero, Wormhole, Hyperlane) that provides on-chain proof of destination delivery before releasing input funds; (2) Using an optimistic approach with a challenge window; or (3) Restricting the initial launch to same-chain routing only (sourceChain == destChain) until a cross-chain proof mechanism is implemented. The whitepaper should clearly document this trust assumption.</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7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VTX-03</w:t>
            </w:r>
          </w:p>
          <w:p>
            <w:pPr>
              <w:jc w:val="center"/>
            </w:pPr>
            <w:r>
              <w:rPr>
                <w:rFonts w:ascii="Arial" w:cs="Arial" w:eastAsia="Arial" w:hAnsi="Arial"/>
                <w:b/>
                <w:bCs/>
                <w:color w:val="FFFFFF"/>
                <w:sz w:val="16"/>
                <w:szCs w:val="16"/>
              </w:rPr>
              <w:t xml:space="preserve">MEDIUM</w:t>
            </w:r>
          </w:p>
        </w:tc>
        <w:tc>
          <w:tcPr>
            <w:tcW w:type="dxa" w:w="7920"/>
            <w:tcBorders>
              <w:top w:val="single" w:color="CCCCCC" w:sz="1"/>
              <w:left w:val="single" w:color="CCCCCC" w:sz="1"/>
              <w:bottom w:val="single" w:color="CCCCCC" w:sz="1"/>
              <w:right w:val="single" w:color="CCCCCC" w:sz="1"/>
            </w:tcBorders>
            <w:shd w:fill="FFF0CC" w:val="clear"/>
            <w:tcMar>
              <w:top w:type="dxa" w:w="100"/>
              <w:left w:type="dxa" w:w="200"/>
              <w:bottom w:type="dxa" w:w="100"/>
              <w:right w:type="dxa" w:w="120"/>
            </w:tcMar>
          </w:tcPr>
          <w:p>
            <w:r>
              <w:rPr>
                <w:rFonts w:ascii="Arial" w:cs="Arial" w:eastAsia="Arial" w:hAnsi="Arial"/>
                <w:b/>
                <w:bCs/>
                <w:sz w:val="22"/>
                <w:szCs w:val="22"/>
              </w:rPr>
              <w:t xml:space="preserve">Unstake Cooldown Reset Bug</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VortexStaking.sol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In unstake(), queued unstake amounts are accumulated with info.unstakeAmount += amount, but the cooldown timestamp is always reset to block.timestamp + 7 days. If a user calls unstake() multiple times before withdrawing, each new call resets the cooldown for the entire queued amount, including tokens queued from previous calls.</w:t>
      </w:r>
    </w:p>
    <w:p>
      <w:pPr>
        <w:spacing w:after="60" w:before="60"/>
      </w:pPr>
      <w:r>
        <w:t xml:space="preserve"/>
      </w:r>
    </w:p>
    <w:p>
      <w:pPr>
        <w:spacing w:after="80" w:before="80"/>
      </w:pPr>
      <w:r>
        <w:rPr>
          <w:rFonts w:ascii="Arial" w:cs="Arial" w:eastAsia="Arial" w:hAnsi="Arial"/>
          <w:b/>
          <w:bCs/>
          <w:sz w:val="20"/>
          <w:szCs w:val="20"/>
        </w:rPr>
        <w:t xml:space="preserve">Vulnerable Code</w:t>
      </w:r>
    </w:p>
    <w:p>
      <w:pPr>
        <w:spacing w:after="60" w:before="60"/>
        <w:ind w:left="720"/>
      </w:pPr>
      <w:r>
        <w:rPr>
          <w:rFonts w:ascii="Courier New" w:cs="Courier New" w:eastAsia="Courier New" w:hAnsi="Courier New"/>
          <w:color w:val="C7254E"/>
          <w:sz w:val="18"/>
          <w:szCs w:val="18"/>
        </w:rPr>
        <w:t xml:space="preserve">// BUG: cooldown always resets</w:t>
      </w:r>
    </w:p>
    <w:p>
      <w:pPr>
        <w:spacing w:after="60" w:before="60"/>
        <w:ind w:left="720"/>
      </w:pPr>
      <w:r>
        <w:rPr>
          <w:rFonts w:ascii="Courier New" w:cs="Courier New" w:eastAsia="Courier New" w:hAnsi="Courier New"/>
          <w:color w:val="C7254E"/>
          <w:sz w:val="18"/>
          <w:szCs w:val="18"/>
        </w:rPr>
        <w:t xml:space="preserve">info.unstakeAmount += amount;</w:t>
      </w:r>
    </w:p>
    <w:p>
      <w:pPr>
        <w:spacing w:after="60" w:before="60"/>
        <w:ind w:left="720"/>
      </w:pPr>
      <w:r>
        <w:rPr>
          <w:rFonts w:ascii="Courier New" w:cs="Courier New" w:eastAsia="Courier New" w:hAnsi="Courier New"/>
          <w:color w:val="C7254E"/>
          <w:sz w:val="18"/>
          <w:szCs w:val="18"/>
        </w:rPr>
        <w:t xml:space="preserve">info.unstakeAvailableAt = block.timestamp + UNSTAKE_COOLDOWN; // always resets</w:t>
      </w:r>
    </w:p>
    <w:p>
      <w:pPr>
        <w:spacing w:after="60" w:before="60"/>
        <w:ind w:left="720"/>
      </w:pPr>
      <w:r>
        <w:rPr>
          <w:rFonts w:ascii="Courier New" w:cs="Courier New" w:eastAsia="Courier New" w:hAnsi="Courier New"/>
          <w:color w:val="C7254E"/>
          <w:sz w:val="18"/>
          <w:szCs w:val="18"/>
        </w:rPr>
        <w:t xml:space="preserve"/>
      </w:r>
    </w:p>
    <w:p>
      <w:pPr>
        <w:spacing w:after="60" w:before="60"/>
        <w:ind w:left="720"/>
      </w:pPr>
      <w:r>
        <w:rPr>
          <w:rFonts w:ascii="Courier New" w:cs="Courier New" w:eastAsia="Courier New" w:hAnsi="Courier New"/>
          <w:color w:val="C7254E"/>
          <w:sz w:val="18"/>
          <w:szCs w:val="18"/>
        </w:rPr>
        <w:t xml:space="preserve">// FIX: require prior withdrawal first</w:t>
      </w:r>
    </w:p>
    <w:p>
      <w:pPr>
        <w:spacing w:after="60" w:before="60"/>
        <w:ind w:left="720"/>
      </w:pPr>
      <w:r>
        <w:rPr>
          <w:rFonts w:ascii="Courier New" w:cs="Courier New" w:eastAsia="Courier New" w:hAnsi="Courier New"/>
          <w:color w:val="C7254E"/>
          <w:sz w:val="18"/>
          <w:szCs w:val="18"/>
        </w:rPr>
        <w:t xml:space="preserve">require(info.unstakeAmount == 0, "withdraw first");</w:t>
      </w:r>
    </w:p>
    <w:p>
      <w:pPr>
        <w:spacing w:after="60" w:before="60"/>
        <w:ind w:left="720"/>
      </w:pPr>
      <w:r>
        <w:rPr>
          <w:rFonts w:ascii="Courier New" w:cs="Courier New" w:eastAsia="Courier New" w:hAnsi="Courier New"/>
          <w:color w:val="C7254E"/>
          <w:sz w:val="18"/>
          <w:szCs w:val="18"/>
        </w:rPr>
        <w:t xml:space="preserve">info.unstakeAmount = amount;</w:t>
      </w:r>
    </w:p>
    <w:p>
      <w:pPr>
        <w:spacing w:after="60" w:before="60"/>
        <w:ind w:left="720"/>
      </w:pPr>
      <w:r>
        <w:rPr>
          <w:rFonts w:ascii="Courier New" w:cs="Courier New" w:eastAsia="Courier New" w:hAnsi="Courier New"/>
          <w:color w:val="C7254E"/>
          <w:sz w:val="18"/>
          <w:szCs w:val="18"/>
        </w:rPr>
        <w:t xml:space="preserve">info.unstakeAvailableAt = block.timestamp + UNSTAKE_COOLDOWN;</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A user who calls unstake(100) on Day 1, then unstake(1) on Day 6, will find their 100 VTX cooldown reset to Day 13 instead of expiring on Day 8. This is a denial-of-service on the user's own funds and breaks the expected 7-day cooldown guarantee.</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Track cooldown per unstake request rather than merging them. Use a queue/array of (amount, availableAt) pairs, or enforce that a new unstake call can only be made after withdrawing the previous one. Simplest fix: require(info.unstakeAmount == 0) before queuing a new unstake.</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7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VTX-04</w:t>
            </w:r>
          </w:p>
          <w:p>
            <w:pPr>
              <w:jc w:val="center"/>
            </w:pPr>
            <w:r>
              <w:rPr>
                <w:rFonts w:ascii="Arial" w:cs="Arial" w:eastAsia="Arial" w:hAnsi="Arial"/>
                <w:b/>
                <w:bCs/>
                <w:color w:val="FFFFFF"/>
                <w:sz w:val="16"/>
                <w:szCs w:val="16"/>
              </w:rPr>
              <w:t xml:space="preserve">MEDIUM</w:t>
            </w:r>
          </w:p>
        </w:tc>
        <w:tc>
          <w:tcPr>
            <w:tcW w:type="dxa" w:w="7920"/>
            <w:tcBorders>
              <w:top w:val="single" w:color="CCCCCC" w:sz="1"/>
              <w:left w:val="single" w:color="CCCCCC" w:sz="1"/>
              <w:bottom w:val="single" w:color="CCCCCC" w:sz="1"/>
              <w:right w:val="single" w:color="CCCCCC" w:sz="1"/>
            </w:tcBorders>
            <w:shd w:fill="FFF0CC" w:val="clear"/>
            <w:tcMar>
              <w:top w:type="dxa" w:w="100"/>
              <w:left w:type="dxa" w:w="200"/>
              <w:bottom w:type="dxa" w:w="100"/>
              <w:right w:type="dxa" w:w="120"/>
            </w:tcMar>
          </w:tcPr>
          <w:p>
            <w:r>
              <w:rPr>
                <w:rFonts w:ascii="Arial" w:cs="Arial" w:eastAsia="Arial" w:hAnsi="Arial"/>
                <w:b/>
                <w:bCs/>
                <w:sz w:val="22"/>
                <w:szCs w:val="22"/>
              </w:rPr>
              <w:t xml:space="preserve">recordDeposit() Is Unguarded — Accounting Inflation</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VortexTreasury.sol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The recordDeposit() function is public and allows any caller to increment totalReceived[token] by any amount without transferring any actual tokens. The function only updates an accounting counter but emits a TokenReceived event as if real funds arrived.</w:t>
      </w:r>
    </w:p>
    <w:p>
      <w:pPr>
        <w:spacing w:after="60" w:before="60"/>
      </w:pPr>
      <w:r>
        <w:t xml:space="preserve"/>
      </w:r>
    </w:p>
    <w:p>
      <w:pPr>
        <w:spacing w:after="80" w:before="80"/>
      </w:pPr>
      <w:r>
        <w:rPr>
          <w:rFonts w:ascii="Arial" w:cs="Arial" w:eastAsia="Arial" w:hAnsi="Arial"/>
          <w:b/>
          <w:bCs/>
          <w:sz w:val="20"/>
          <w:szCs w:val="20"/>
        </w:rPr>
        <w:t xml:space="preserve">Vulnerable Code</w:t>
      </w:r>
    </w:p>
    <w:p>
      <w:pPr>
        <w:spacing w:after="60" w:before="60"/>
        <w:ind w:left="720"/>
      </w:pPr>
      <w:r>
        <w:rPr>
          <w:rFonts w:ascii="Courier New" w:cs="Courier New" w:eastAsia="Courier New" w:hAnsi="Courier New"/>
          <w:color w:val="C7254E"/>
          <w:sz w:val="18"/>
          <w:szCs w:val="18"/>
        </w:rPr>
        <w:t xml:space="preserve">// VULNERABLE: anyone can call</w:t>
      </w:r>
    </w:p>
    <w:p>
      <w:pPr>
        <w:spacing w:after="60" w:before="60"/>
        <w:ind w:left="720"/>
      </w:pPr>
      <w:r>
        <w:rPr>
          <w:rFonts w:ascii="Courier New" w:cs="Courier New" w:eastAsia="Courier New" w:hAnsi="Courier New"/>
          <w:color w:val="C7254E"/>
          <w:sz w:val="18"/>
          <w:szCs w:val="18"/>
        </w:rPr>
        <w:t xml:space="preserve">function recordDeposit(address token, uint256 amount) external {</w:t>
      </w:r>
    </w:p>
    <w:p>
      <w:pPr>
        <w:spacing w:after="60" w:before="60"/>
        <w:ind w:left="720"/>
      </w:pPr>
      <w:r>
        <w:rPr>
          <w:rFonts w:ascii="Courier New" w:cs="Courier New" w:eastAsia="Courier New" w:hAnsi="Courier New"/>
          <w:color w:val="C7254E"/>
          <w:sz w:val="18"/>
          <w:szCs w:val="18"/>
        </w:rPr>
        <w:t xml:space="preserve">    totalReceived[token] += amount; // inflatable by anyone</w:t>
      </w:r>
    </w:p>
    <w:p>
      <w:pPr>
        <w:spacing w:after="60" w:before="60"/>
        <w:ind w:left="720"/>
      </w:pPr>
      <w:r>
        <w:rPr>
          <w:rFonts w:ascii="Courier New" w:cs="Courier New" w:eastAsia="Courier New" w:hAnsi="Courier New"/>
          <w:color w:val="C7254E"/>
          <w:sz w:val="18"/>
          <w:szCs w:val="18"/>
        </w:rPr>
        <w:t xml:space="preserve">    emit TokenReceived(token, msg.sender, amount);</w:t>
      </w:r>
    </w:p>
    <w:p>
      <w:pPr>
        <w:spacing w:after="60" w:before="60"/>
        <w:ind w:left="720"/>
      </w:pPr>
      <w:r>
        <w:rPr>
          <w:rFonts w:ascii="Courier New" w:cs="Courier New" w:eastAsia="Courier New" w:hAnsi="Courier New"/>
          <w:color w:val="C7254E"/>
          <w:sz w:val="18"/>
          <w:szCs w:val="18"/>
        </w:rPr>
        <w:t xml:space="preserve">}</w:t>
      </w:r>
    </w:p>
    <w:p>
      <w:pPr>
        <w:spacing w:after="60" w:before="60"/>
        <w:ind w:left="720"/>
      </w:pPr>
      <w:r>
        <w:rPr>
          <w:rFonts w:ascii="Courier New" w:cs="Courier New" w:eastAsia="Courier New" w:hAnsi="Courier New"/>
          <w:color w:val="C7254E"/>
          <w:sz w:val="18"/>
          <w:szCs w:val="18"/>
        </w:rPr>
        <w:t xml:space="preserve"/>
      </w:r>
    </w:p>
    <w:p>
      <w:pPr>
        <w:spacing w:after="60" w:before="60"/>
        <w:ind w:left="720"/>
      </w:pPr>
      <w:r>
        <w:rPr>
          <w:rFonts w:ascii="Courier New" w:cs="Courier New" w:eastAsia="Courier New" w:hAnsi="Courier New"/>
          <w:color w:val="C7254E"/>
          <w:sz w:val="18"/>
          <w:szCs w:val="18"/>
        </w:rPr>
        <w:t xml:space="preserve">// FIX: restrict to authorized callers</w:t>
      </w:r>
    </w:p>
    <w:p>
      <w:pPr>
        <w:spacing w:after="60" w:before="60"/>
        <w:ind w:left="720"/>
      </w:pPr>
      <w:r>
        <w:rPr>
          <w:rFonts w:ascii="Courier New" w:cs="Courier New" w:eastAsia="Courier New" w:hAnsi="Courier New"/>
          <w:color w:val="C7254E"/>
          <w:sz w:val="18"/>
          <w:szCs w:val="18"/>
        </w:rPr>
        <w:t xml:space="preserve">function recordDeposit(address token, uint256 amount) external onlyOwner {</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Anyone can make the treasury appear to have received more funds than it actually has. This could mislead governance, investors, or integrations querying totalReceived via etherscan or on-chain analytics. While funds themselves are safe (withdrawals check actual balances via safeTransfer), the accounting corruption could be used as a social engineering tool or to manipulate governance sentiment.</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Restrict recordDeposit() to onlyOwner, or remove it entirely and rely on VortexRouter to track deposits. Alternatively, verify the actual token balance change instead of taking an arbitrary amount parameter.</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C07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VTX-05</w:t>
            </w:r>
          </w:p>
          <w:p>
            <w:pPr>
              <w:jc w:val="center"/>
            </w:pPr>
            <w:r>
              <w:rPr>
                <w:rFonts w:ascii="Arial" w:cs="Arial" w:eastAsia="Arial" w:hAnsi="Arial"/>
                <w:b/>
                <w:bCs/>
                <w:color w:val="FFFFFF"/>
                <w:sz w:val="16"/>
                <w:szCs w:val="16"/>
              </w:rPr>
              <w:t xml:space="preserve">MEDIUM</w:t>
            </w:r>
          </w:p>
        </w:tc>
        <w:tc>
          <w:tcPr>
            <w:tcW w:type="dxa" w:w="7920"/>
            <w:tcBorders>
              <w:top w:val="single" w:color="CCCCCC" w:sz="1"/>
              <w:left w:val="single" w:color="CCCCCC" w:sz="1"/>
              <w:bottom w:val="single" w:color="CCCCCC" w:sz="1"/>
              <w:right w:val="single" w:color="CCCCCC" w:sz="1"/>
            </w:tcBorders>
            <w:shd w:fill="FFF0CC" w:val="clear"/>
            <w:tcMar>
              <w:top w:type="dxa" w:w="100"/>
              <w:left w:type="dxa" w:w="200"/>
              <w:bottom w:type="dxa" w:w="100"/>
              <w:right w:type="dxa" w:w="120"/>
            </w:tcMar>
          </w:tcPr>
          <w:p>
            <w:r>
              <w:rPr>
                <w:rFonts w:ascii="Arial" w:cs="Arial" w:eastAsia="Arial" w:hAnsi="Arial"/>
                <w:b/>
                <w:bCs/>
                <w:sz w:val="22"/>
                <w:szCs w:val="22"/>
              </w:rPr>
              <w:t xml:space="preserve">rewardToken Can Be Changed Mid-Stream</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VortexStaking.sol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The owner can change rewardToken at any time via setRewardToken(). Stakers accumulate pendingRewards as a raw uint256 amount. If rewardToken changes from USDC (6 decimals) to an 18-decimal token, or from one token to another, the pending balances become denominated in the wrong token and _transferReward() will attempt to pay them out in the new token.</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Users with pending USDC rewards (e.g., 1,000 units = $0.001 in 6-decimal terms) who claim after a token switch to an 18-decimal token would receive 1,000 wei of that token — or vice versa. This is an economic mismatch that can be exploited: an attacker who can influence governance could switch to a worthless token after fees accumulate, draining real value.</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Add a timelock or minimum delay to rewardToken changes. Before changing, force all users to claim or snapshot balances. Alternatively, track rewards in separate per-token balances so historic rewards are always claimable in the original token.</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VTX-06</w:t>
            </w:r>
          </w:p>
          <w:p>
            <w:pPr>
              <w:jc w:val="center"/>
            </w:pPr>
            <w:r>
              <w:rPr>
                <w:rFonts w:ascii="Arial" w:cs="Arial" w:eastAsia="Arial" w:hAnsi="Arial"/>
                <w:b/>
                <w:bCs/>
                <w:color w:val="FFFFFF"/>
                <w:sz w:val="16"/>
                <w:szCs w:val="16"/>
              </w:rPr>
              <w:t xml:space="preserve">LOW</w:t>
            </w:r>
          </w:p>
        </w:tc>
        <w:tc>
          <w:tcPr>
            <w:tcW w:type="dxa" w:w="7920"/>
            <w:tcBorders>
              <w:top w:val="single" w:color="CCCCCC" w:sz="1"/>
              <w:left w:val="single" w:color="CCCCCC" w:sz="1"/>
              <w:bottom w:val="single" w:color="CCCCCC" w:sz="1"/>
              <w:right w:val="single" w:color="CCCCCC" w:sz="1"/>
            </w:tcBorders>
            <w:shd w:fill="DDEEFF" w:val="clear"/>
            <w:tcMar>
              <w:top w:type="dxa" w:w="100"/>
              <w:left w:type="dxa" w:w="200"/>
              <w:bottom w:type="dxa" w:w="100"/>
              <w:right w:type="dxa" w:w="120"/>
            </w:tcMar>
          </w:tcPr>
          <w:p>
            <w:r>
              <w:rPr>
                <w:rFonts w:ascii="Arial" w:cs="Arial" w:eastAsia="Arial" w:hAnsi="Arial"/>
                <w:b/>
                <w:bCs/>
                <w:sz w:val="22"/>
                <w:szCs w:val="22"/>
              </w:rPr>
              <w:t xml:space="preserve">Fee Evasion via Dust Amounts</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VortexRouter.sol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Protocol fee is calculated as (inputAmount * 5) / 10000. For inputAmount &lt; 2000 wei, this rounds to 0 due to integer division. Users can split a large transaction into many sub-2000-wei intents to pay zero fees.</w:t>
      </w:r>
    </w:p>
    <w:p>
      <w:pPr>
        <w:spacing w:after="60" w:before="60"/>
      </w:pPr>
      <w:r>
        <w:t xml:space="preserve"/>
      </w:r>
    </w:p>
    <w:p>
      <w:pPr>
        <w:spacing w:after="80" w:before="80"/>
      </w:pPr>
      <w:r>
        <w:rPr>
          <w:rFonts w:ascii="Arial" w:cs="Arial" w:eastAsia="Arial" w:hAnsi="Arial"/>
          <w:b/>
          <w:bCs/>
          <w:sz w:val="20"/>
          <w:szCs w:val="20"/>
        </w:rPr>
        <w:t xml:space="preserve">Vulnerable Code</w:t>
      </w:r>
    </w:p>
    <w:p>
      <w:pPr>
        <w:spacing w:after="60" w:before="60"/>
        <w:ind w:left="720"/>
      </w:pPr>
      <w:r>
        <w:rPr>
          <w:rFonts w:ascii="Courier New" w:cs="Courier New" w:eastAsia="Courier New" w:hAnsi="Courier New"/>
          <w:color w:val="C7254E"/>
          <w:sz w:val="18"/>
          <w:szCs w:val="18"/>
        </w:rPr>
        <w:t xml:space="preserve">// Current: fee = 0 for inputAmount &lt; 2000</w:t>
      </w:r>
    </w:p>
    <w:p>
      <w:pPr>
        <w:spacing w:after="60" w:before="60"/>
        <w:ind w:left="720"/>
      </w:pPr>
      <w:r>
        <w:rPr>
          <w:rFonts w:ascii="Courier New" w:cs="Courier New" w:eastAsia="Courier New" w:hAnsi="Courier New"/>
          <w:color w:val="C7254E"/>
          <w:sz w:val="18"/>
          <w:szCs w:val="18"/>
        </w:rPr>
        <w:t xml:space="preserve">uint256 fee = (intent.inputAmount * FEE_BPS) / BPS_DENOMINATOR;</w:t>
      </w:r>
    </w:p>
    <w:p>
      <w:pPr>
        <w:spacing w:after="60" w:before="60"/>
        <w:ind w:left="720"/>
      </w:pPr>
      <w:r>
        <w:rPr>
          <w:rFonts w:ascii="Courier New" w:cs="Courier New" w:eastAsia="Courier New" w:hAnsi="Courier New"/>
          <w:color w:val="C7254E"/>
          <w:sz w:val="18"/>
          <w:szCs w:val="18"/>
        </w:rPr>
        <w:t xml:space="preserve"/>
      </w:r>
    </w:p>
    <w:p>
      <w:pPr>
        <w:spacing w:after="60" w:before="60"/>
        <w:ind w:left="720"/>
      </w:pPr>
      <w:r>
        <w:rPr>
          <w:rFonts w:ascii="Courier New" w:cs="Courier New" w:eastAsia="Courier New" w:hAnsi="Courier New"/>
          <w:color w:val="C7254E"/>
          <w:sz w:val="18"/>
          <w:szCs w:val="18"/>
        </w:rPr>
        <w:t xml:space="preserve">// Fix: add minimum fee</w:t>
      </w:r>
    </w:p>
    <w:p>
      <w:pPr>
        <w:spacing w:after="60" w:before="60"/>
        <w:ind w:left="720"/>
      </w:pPr>
      <w:r>
        <w:rPr>
          <w:rFonts w:ascii="Courier New" w:cs="Courier New" w:eastAsia="Courier New" w:hAnsi="Courier New"/>
          <w:color w:val="C7254E"/>
          <w:sz w:val="18"/>
          <w:szCs w:val="18"/>
        </w:rPr>
        <w:t xml:space="preserve">uint256 MIN_FEE = 1000; // or set as governance parameter</w:t>
      </w:r>
    </w:p>
    <w:p>
      <w:pPr>
        <w:spacing w:after="60" w:before="60"/>
        <w:ind w:left="720"/>
      </w:pPr>
      <w:r>
        <w:rPr>
          <w:rFonts w:ascii="Courier New" w:cs="Courier New" w:eastAsia="Courier New" w:hAnsi="Courier New"/>
          <w:color w:val="C7254E"/>
          <w:sz w:val="18"/>
          <w:szCs w:val="18"/>
        </w:rPr>
        <w:t xml:space="preserve">uint256 fee = Math.max((intent.inputAmount * FEE_BPS) / BPS_DENOMINATOR, MIN_FEE);</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Economically negligible at current ETH/token prices (&lt; $0.00001 per intent), but represents a protocol invariant violation. If gas costs ever approach zero (e.g., on highly optimized L2s), this could scale.</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Add a minimum fee floor: uint256 fee = max((inputAmount * FEE_BPS) / BPS_DENOMINATOR, MIN_FEE). Alternatively, add a minimum inputAmount check: require(inputAmount &gt;= MIN_INPUT, 'below minimum').</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VTX-07</w:t>
            </w:r>
          </w:p>
          <w:p>
            <w:pPr>
              <w:jc w:val="center"/>
            </w:pPr>
            <w:r>
              <w:rPr>
                <w:rFonts w:ascii="Arial" w:cs="Arial" w:eastAsia="Arial" w:hAnsi="Arial"/>
                <w:b/>
                <w:bCs/>
                <w:color w:val="FFFFFF"/>
                <w:sz w:val="16"/>
                <w:szCs w:val="16"/>
              </w:rPr>
              <w:t xml:space="preserve">LOW</w:t>
            </w:r>
          </w:p>
        </w:tc>
        <w:tc>
          <w:tcPr>
            <w:tcW w:type="dxa" w:w="7920"/>
            <w:tcBorders>
              <w:top w:val="single" w:color="CCCCCC" w:sz="1"/>
              <w:left w:val="single" w:color="CCCCCC" w:sz="1"/>
              <w:bottom w:val="single" w:color="CCCCCC" w:sz="1"/>
              <w:right w:val="single" w:color="CCCCCC" w:sz="1"/>
            </w:tcBorders>
            <w:shd w:fill="DDEEFF" w:val="clear"/>
            <w:tcMar>
              <w:top w:type="dxa" w:w="100"/>
              <w:left w:type="dxa" w:w="200"/>
              <w:bottom w:type="dxa" w:w="100"/>
              <w:right w:type="dxa" w:w="120"/>
            </w:tcMar>
          </w:tcPr>
          <w:p>
            <w:r>
              <w:rPr>
                <w:rFonts w:ascii="Arial" w:cs="Arial" w:eastAsia="Arial" w:hAnsi="Arial"/>
                <w:b/>
                <w:bCs/>
                <w:sz w:val="22"/>
                <w:szCs w:val="22"/>
              </w:rPr>
              <w:t xml:space="preserve">No Maximum Deadline Enforcement</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VortexRouter.sol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submitIntent() only validates that deadline &gt; block.timestamp. There is no upper bound. A user could submit an intent with deadline = type(uint256).max, creating a permanent intent that locks their tokens until either a solver fills it or they cancel it.</w:t>
      </w:r>
    </w:p>
    <w:p>
      <w:pPr>
        <w:spacing w:after="60" w:before="60"/>
      </w:pPr>
      <w:r>
        <w:t xml:space="preserve"/>
      </w:r>
    </w:p>
    <w:p>
      <w:pPr>
        <w:spacing w:after="80" w:before="80"/>
      </w:pPr>
      <w:r>
        <w:rPr>
          <w:rFonts w:ascii="Arial" w:cs="Arial" w:eastAsia="Arial" w:hAnsi="Arial"/>
          <w:b/>
          <w:bCs/>
          <w:sz w:val="20"/>
          <w:szCs w:val="20"/>
        </w:rPr>
        <w:t xml:space="preserve">Vulnerable Code</w:t>
      </w:r>
    </w:p>
    <w:p>
      <w:pPr>
        <w:spacing w:after="60" w:before="60"/>
        <w:ind w:left="720"/>
      </w:pPr>
      <w:r>
        <w:rPr>
          <w:rFonts w:ascii="Courier New" w:cs="Courier New" w:eastAsia="Courier New" w:hAnsi="Courier New"/>
          <w:color w:val="C7254E"/>
          <w:sz w:val="18"/>
          <w:szCs w:val="18"/>
        </w:rPr>
        <w:t xml:space="preserve">// Add to submitIntent():</w:t>
      </w:r>
    </w:p>
    <w:p>
      <w:pPr>
        <w:spacing w:after="60" w:before="60"/>
        <w:ind w:left="720"/>
      </w:pPr>
      <w:r>
        <w:rPr>
          <w:rFonts w:ascii="Courier New" w:cs="Courier New" w:eastAsia="Courier New" w:hAnsi="Courier New"/>
          <w:color w:val="C7254E"/>
          <w:sz w:val="18"/>
          <w:szCs w:val="18"/>
        </w:rPr>
        <w:t xml:space="preserve">uint256 public constant MAX_DEADLINE = 7 days;</w:t>
      </w:r>
    </w:p>
    <w:p>
      <w:pPr>
        <w:spacing w:after="60" w:before="60"/>
        <w:ind w:left="720"/>
      </w:pPr>
      <w:r>
        <w:rPr>
          <w:rFonts w:ascii="Courier New" w:cs="Courier New" w:eastAsia="Courier New" w:hAnsi="Courier New"/>
          <w:color w:val="C7254E"/>
          <w:sz w:val="18"/>
          <w:szCs w:val="18"/>
        </w:rPr>
        <w:t xml:space="preserve">require(deadline &lt;= block.timestamp + MAX_DEADLINE, "deadline too far");</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Users who forget to cancel a long-lived intent could have their tokens locked indefinitely. More importantly, if a user submits an intent at a time of favorable pricing and does not cancel it, a solver could fill it years later at economically unfavorable conditions for the user.</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Enforce a maximum deadline: require(deadline &lt;= block.timestamp + MAX_DEADLINE). Suggested MAX_DEADLINE = 7 days for launch. Make it a governance parameter.</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FA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VTX-08</w:t>
            </w:r>
          </w:p>
          <w:p>
            <w:pPr>
              <w:jc w:val="center"/>
            </w:pPr>
            <w:r>
              <w:rPr>
                <w:rFonts w:ascii="Arial" w:cs="Arial" w:eastAsia="Arial" w:hAnsi="Arial"/>
                <w:b/>
                <w:bCs/>
                <w:color w:val="FFFFFF"/>
                <w:sz w:val="16"/>
                <w:szCs w:val="16"/>
              </w:rPr>
              <w:t xml:space="preserve">LOW</w:t>
            </w:r>
          </w:p>
        </w:tc>
        <w:tc>
          <w:tcPr>
            <w:tcW w:type="dxa" w:w="7920"/>
            <w:tcBorders>
              <w:top w:val="single" w:color="CCCCCC" w:sz="1"/>
              <w:left w:val="single" w:color="CCCCCC" w:sz="1"/>
              <w:bottom w:val="single" w:color="CCCCCC" w:sz="1"/>
              <w:right w:val="single" w:color="CCCCCC" w:sz="1"/>
            </w:tcBorders>
            <w:shd w:fill="DDEEFF" w:val="clear"/>
            <w:tcMar>
              <w:top w:type="dxa" w:w="100"/>
              <w:left w:type="dxa" w:w="200"/>
              <w:bottom w:type="dxa" w:w="100"/>
              <w:right w:type="dxa" w:w="120"/>
            </w:tcMar>
          </w:tcPr>
          <w:p>
            <w:r>
              <w:rPr>
                <w:rFonts w:ascii="Arial" w:cs="Arial" w:eastAsia="Arial" w:hAnsi="Arial"/>
                <w:b/>
                <w:bCs/>
                <w:sz w:val="22"/>
                <w:szCs w:val="22"/>
              </w:rPr>
              <w:t xml:space="preserve">totalReceived Not Decremented on Withdrawal</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VortexTreasury.sol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The totalReceived mapping only increases. When governance calls withdraw() or withdrawERC20(), totalReceived is not decremented. The accounting counter will always show cumulative inflows, not current holdings.</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Low risk — actual fund safety is unaffected. However, any analytics tool or governance dashboard reading totalReceived will show inflated numbers, potentially misleading token holders about treasury solvency.</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Either rename to totalReceived to make it clear it tracks cumulative inflows (not balance), or track a separate totalWithdrawn and compute balance as totalReceived - totalWithdrawn. Better yet, use tokenBalance() which reads actual balances.</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9595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VTX-09</w:t>
            </w:r>
          </w:p>
          <w:p>
            <w:pPr>
              <w:jc w:val="center"/>
            </w:pPr>
            <w:r>
              <w:rPr>
                <w:rFonts w:ascii="Arial" w:cs="Arial" w:eastAsia="Arial" w:hAnsi="Arial"/>
                <w:b/>
                <w:bCs/>
                <w:color w:val="FFFFFF"/>
                <w:sz w:val="16"/>
                <w:szCs w:val="16"/>
              </w:rPr>
              <w:t xml:space="preserve">INFO</w:t>
            </w:r>
          </w:p>
        </w:tc>
        <w:tc>
          <w:tcPr>
            <w:tcW w:type="dxa" w:w="792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sz w:val="22"/>
                <w:szCs w:val="22"/>
              </w:rPr>
              <w:t xml:space="preserve">No minOutput Floor Validation</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VortexRouter.sol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submitIntent() validates minOutput &gt; 0 but does not validate it against inputAmount. A user could accidentally set minOutput = 1 wei, effectively providing zero slippage protection.</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User funds at risk from human error. A user intending to receive $10,000 USDC could accidentally lose all slippage protection by setting minOutput too low.</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Add a warning comment in the NatSpec. Consider adding a UI-enforced minimum (off-chain). For on-chain protection, the protocol could enforce minOutput &gt;= inputAmount * (BPS_DENOMINATOR - MAX_SLIPPAGE_BPS) / BPS_DENOMINATOR as an optional parameter.</w:t>
      </w:r>
    </w:p>
    <w:p>
      <w:pPr>
        <w:spacing w:after="60" w:before="60"/>
      </w:pPr>
      <w:r>
        <w:t xml:space="preserve"/>
      </w:r>
    </w:p>
    <w:p>
      <w:pPr>
        <w:pBdr>
          <w:bottom w:val="single" w:color="DDDDDD" w:sz="4"/>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59595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VTX-10</w:t>
            </w:r>
          </w:p>
          <w:p>
            <w:pPr>
              <w:jc w:val="center"/>
            </w:pPr>
            <w:r>
              <w:rPr>
                <w:rFonts w:ascii="Arial" w:cs="Arial" w:eastAsia="Arial" w:hAnsi="Arial"/>
                <w:b/>
                <w:bCs/>
                <w:color w:val="FFFFFF"/>
                <w:sz w:val="16"/>
                <w:szCs w:val="16"/>
              </w:rPr>
              <w:t xml:space="preserve">INFO</w:t>
            </w:r>
          </w:p>
        </w:tc>
        <w:tc>
          <w:tcPr>
            <w:tcW w:type="dxa" w:w="792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120"/>
            </w:tcMar>
          </w:tcPr>
          <w:p>
            <w:r>
              <w:rPr>
                <w:rFonts w:ascii="Arial" w:cs="Arial" w:eastAsia="Arial" w:hAnsi="Arial"/>
                <w:b/>
                <w:bCs/>
                <w:sz w:val="22"/>
                <w:szCs w:val="22"/>
              </w:rPr>
              <w:t xml:space="preserve">Governance Acquisition Attack</w:t>
            </w:r>
          </w:p>
          <w:p>
            <w:pPr>
              <w:spacing w:before="40"/>
            </w:pPr>
            <w:r>
              <w:rPr>
                <w:rFonts w:ascii="Arial" w:cs="Arial" w:eastAsia="Arial" w:hAnsi="Arial"/>
                <w:b/>
                <w:bCs/>
                <w:sz w:val="18"/>
                <w:szCs w:val="18"/>
              </w:rPr>
              <w:t xml:space="preserve">Contract: </w:t>
            </w:r>
            <w:r>
              <w:rPr>
                <w:rFonts w:ascii="Courier New" w:cs="Courier New" w:eastAsia="Courier New" w:hAnsi="Courier New"/>
                <w:color w:val="595959"/>
                <w:sz w:val="18"/>
                <w:szCs w:val="18"/>
              </w:rPr>
              <w:t xml:space="preserve">VortexGovernor.sol</w:t>
            </w:r>
          </w:p>
        </w:tc>
      </w:tr>
    </w:tbl>
    <w:p>
      <w:pPr>
        <w:spacing w:after="60" w:before="60"/>
      </w:pPr>
      <w:r>
        <w:t xml:space="preserve"/>
      </w:r>
    </w:p>
    <w:p>
      <w:pPr>
        <w:spacing w:after="80" w:before="80"/>
      </w:pPr>
      <w:r>
        <w:rPr>
          <w:rFonts w:ascii="Arial" w:cs="Arial" w:eastAsia="Arial" w:hAnsi="Arial"/>
          <w:b/>
          <w:bCs/>
          <w:sz w:val="20"/>
          <w:szCs w:val="20"/>
        </w:rPr>
        <w:t xml:space="preserve">Description</w:t>
      </w:r>
    </w:p>
    <w:p>
      <w:pPr>
        <w:spacing w:after="80" w:before="80"/>
      </w:pPr>
      <w:r>
        <w:rPr>
          <w:rFonts w:ascii="Arial" w:cs="Arial" w:eastAsia="Arial" w:hAnsi="Arial"/>
          <w:sz w:val="20"/>
          <w:szCs w:val="20"/>
        </w:rPr>
        <w:t xml:space="preserve">The protocol uses token-weighted governance (1 VTX = 1 vote). With 35% of supply as community incentives and 20% in the treasury, an entity acquiring &gt;50% of circulating VTX (post-distribution) could pass malicious proposals after the 48-hour Timelock delay. The Timelock provides a reaction window but does not prevent execution if the attacker holds sufficient tokens.</w:t>
      </w:r>
    </w:p>
    <w:p>
      <w:pPr>
        <w:spacing w:after="60" w:before="60"/>
      </w:pPr>
      <w:r>
        <w:t xml:space="preserve"/>
      </w:r>
    </w:p>
    <w:p>
      <w:pPr>
        <w:spacing w:after="80" w:before="80"/>
      </w:pPr>
      <w:r>
        <w:rPr>
          <w:rFonts w:ascii="Arial" w:cs="Arial" w:eastAsia="Arial" w:hAnsi="Arial"/>
          <w:b/>
          <w:bCs/>
          <w:color w:val="C00000"/>
          <w:sz w:val="20"/>
          <w:szCs w:val="20"/>
        </w:rPr>
        <w:t xml:space="preserve">Impact</w:t>
      </w:r>
    </w:p>
    <w:p>
      <w:pPr>
        <w:spacing w:after="80" w:before="80"/>
      </w:pPr>
      <w:r>
        <w:rPr>
          <w:rFonts w:ascii="Arial" w:cs="Arial" w:eastAsia="Arial" w:hAnsi="Arial"/>
          <w:sz w:val="20"/>
          <w:szCs w:val="20"/>
        </w:rPr>
        <w:t xml:space="preserve">A whale or coordinated group could: (1) set opsWallet to a controlled address to divert 10% of all future fees; (2) change the Router's staking contract to a malicious one; (3) drain the treasury to an arbitrary address. The 48-hour delay gives the community time to react but not necessarily to prevent.</w:t>
      </w:r>
    </w:p>
    <w:p>
      <w:pPr>
        <w:spacing w:after="60" w:before="60"/>
      </w:pPr>
      <w:r>
        <w:t xml:space="preserve"/>
      </w:r>
    </w:p>
    <w:p>
      <w:pPr>
        <w:spacing w:after="80" w:before="80"/>
      </w:pPr>
      <w:r>
        <w:rPr>
          <w:rFonts w:ascii="Arial" w:cs="Arial" w:eastAsia="Arial" w:hAnsi="Arial"/>
          <w:b/>
          <w:bCs/>
          <w:color w:val="1A5C1A"/>
          <w:sz w:val="20"/>
          <w:szCs w:val="20"/>
        </w:rPr>
        <w:t xml:space="preserve">Recommendation</w:t>
      </w:r>
    </w:p>
    <w:p>
      <w:pPr>
        <w:spacing w:after="80" w:before="80"/>
      </w:pPr>
      <w:r>
        <w:rPr>
          <w:rFonts w:ascii="Arial" w:cs="Arial" w:eastAsia="Arial" w:hAnsi="Arial"/>
          <w:sz w:val="20"/>
          <w:szCs w:val="20"/>
        </w:rPr>
        <w:t xml:space="preserve">Consider: (1) Requiring a quorum of 10-20% of total supply for critical proposals; (2) Adding a veto mechanism for the founding multisig during the initial 12-month period; (3) Using a time-weighted average balance (TWAB) for votes to prevent flash governance attacks; (4) Setting the Timelock delay to 72 hours for high-risk parameter changes.</w:t>
      </w:r>
    </w:p>
    <w:p>
      <w:pPr>
        <w:spacing w:after="60" w:before="60"/>
      </w:pPr>
      <w:r>
        <w:t xml:space="preserve"/>
      </w:r>
    </w:p>
    <w:p>
      <w:pPr>
        <w:pBdr>
          <w:bottom w:val="single" w:color="DDDDDD" w:sz="4"/>
        </w:pBdr>
        <w:spacing w:after="120" w:before="120"/>
      </w:pPr>
      <w:r>
        <w:t xml:space="preserve"/>
      </w:r>
    </w:p>
    <w:p>
      <w:pPr>
        <w:pageBreakBefore/>
      </w:pPr>
      <w:r>
        <w:t xml:space="preserve"/>
      </w:r>
    </w:p>
    <w:p>
      <w:pPr>
        <w:pStyle w:val="Heading1"/>
        <w:spacing w:after="120" w:before="360"/>
      </w:pPr>
      <w:r>
        <w:rPr>
          <w:rFonts w:ascii="Arial" w:cs="Arial" w:eastAsia="Arial" w:hAnsi="Arial"/>
          <w:b/>
          <w:bCs/>
          <w:color w:val="1F3864"/>
          <w:sz w:val="28"/>
          <w:szCs w:val="28"/>
        </w:rPr>
        <w:t xml:space="preserve">4. Security Strengths</w:t>
      </w:r>
    </w:p>
    <w:p>
      <w:pPr>
        <w:spacing w:after="80" w:before="80"/>
      </w:pPr>
      <w:r>
        <w:rPr>
          <w:rFonts w:ascii="Arial" w:cs="Arial" w:eastAsia="Arial" w:hAnsi="Arial"/>
          <w:sz w:val="20"/>
          <w:szCs w:val="20"/>
        </w:rPr>
        <w:t xml:space="preserve">The following security measures are correctly implemented and should be maintained: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W w:type="dxa" w:w="5760"/>
            <w:tcBorders>
              <w:top w:val="single" w:color="CCCCCC" w:sz="1"/>
              <w:left w:val="single" w:color="CCCCCC" w:sz="1"/>
              <w:bottom w:val="single" w:color="CCCCCC" w:sz="1"/>
              <w:right w:val="single" w:color="CCCCCC" w:sz="1"/>
            </w:tcBorders>
            <w:shd w:fill="1A5C1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ReentrancyGuard</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All state-changing external functions are protected. Checks-Effects-Interactions is followed throughout fillIntent().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EIP-712 Signatures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Correct domain separator with name, version, chainId, and verifyingContract. Prevents cross-chain and cross-contract replay.</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Per-user Nonces</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Nonces are incremented atomically before token transfers, preventing intent replay.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Ownable2Step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Two-step ownership transfer prevents accidental ownership loss.</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SafeERC20</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All token transfers use SafeERC20, handling non-standard ERC-20 tokens correctly.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Fixed Supply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mint function post-constructor. Supply can only decrease.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7-day Unstake Cooldown</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Protects against stake-withdrawal attacks immediately before governance-triggered slashing.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48-hour Timelock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governance parameter changes require 48-hour delay, giving community reaction time.</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Slashable Solver Collateral</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8"/>
                <w:szCs w:val="18"/>
              </w:rPr>
              <w:t xml:space="preserve">10,000 VTX minimum stake with governance-controlled slashing aligns solver incentives.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OpenZeppelin 5.x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Uses audited, battle-tested library implementations throughout.</w:t>
            </w:r>
          </w:p>
        </w:tc>
      </w:tr>
    </w:tbl>
    <w:p>
      <w:pPr>
        <w:spacing w:after="60" w:before="60"/>
      </w:pPr>
      <w:r>
        <w:t xml:space="preserve"/>
      </w:r>
    </w:p>
    <w:p>
      <w:pPr>
        <w:pageBreakBefore/>
      </w:pPr>
      <w:r>
        <w:t xml:space="preserve"/>
      </w:r>
    </w:p>
    <w:p>
      <w:pPr>
        <w:pStyle w:val="Heading1"/>
        <w:spacing w:after="120" w:before="360"/>
      </w:pPr>
      <w:r>
        <w:rPr>
          <w:rFonts w:ascii="Arial" w:cs="Arial" w:eastAsia="Arial" w:hAnsi="Arial"/>
          <w:b/>
          <w:bCs/>
          <w:color w:val="1F3864"/>
          <w:sz w:val="28"/>
          <w:szCs w:val="28"/>
        </w:rPr>
        <w:t xml:space="preserve">5. Pre-Audit Remediation Checklist</w:t>
      </w:r>
    </w:p>
    <w:p>
      <w:pPr>
        <w:spacing w:after="80" w:before="80"/>
      </w:pPr>
      <w:r>
        <w:rPr>
          <w:rFonts w:ascii="Arial" w:cs="Arial" w:eastAsia="Arial" w:hAnsi="Arial"/>
          <w:sz w:val="20"/>
          <w:szCs w:val="20"/>
        </w:rPr>
        <w:t xml:space="preserve">The following items should be resolved before engaging an independent auditor. Fixing HIGH findings before external audit significantly reduces audit cost and turnaround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5220"/>
        <w:gridCol w:w="18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6"/>
                <w:szCs w:val="16"/>
              </w:rPr>
              <w:t xml:space="preserve">Fix before audit</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6"/>
                <w:szCs w:val="16"/>
              </w:rPr>
              <w:t xml:space="preserve">Remove double STAKER_SHARE_BPS in distributeRevenue()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D"/>
                <w:sz w:val="16"/>
                <w:szCs w:val="16"/>
              </w:rPr>
              <w:t xml:space="preserve">Document / Fix</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Restrict to same-chain only OR implement cross-chain proof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6"/>
                <w:szCs w:val="16"/>
              </w:rPr>
              <w:t xml:space="preserve">Fix before audit</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6"/>
                <w:szCs w:val="16"/>
              </w:rPr>
              <w:t xml:space="preserve">Require prior withdrawal before queuing new unstake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6"/>
                <w:szCs w:val="16"/>
              </w:rPr>
              <w:t xml:space="preserve">Fix before audit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Restrict recordDeposit() to onlyOwner or remove 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6"/>
                <w:szCs w:val="16"/>
              </w:rPr>
              <w:t xml:space="preserve">Fix before audit</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6"/>
                <w:szCs w:val="16"/>
              </w:rPr>
              <w:t xml:space="preserve">Add delay/timelock to rewardToken changes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7000"/>
                <w:sz w:val="16"/>
                <w:szCs w:val="16"/>
              </w:rPr>
              <w:t xml:space="preserve">Fix before testnet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Add MIN_INPUT or MIN_FEE constant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VTX-07</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7000"/>
                <w:sz w:val="16"/>
                <w:szCs w:val="16"/>
              </w:rPr>
              <w:t xml:space="preserve">Fix before testnet</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6"/>
                <w:szCs w:val="16"/>
              </w:rPr>
              <w:t xml:space="preserve">Add MAX_DEADLINE constant (7 days recommended)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D"/>
                <w:sz w:val="16"/>
                <w:szCs w:val="16"/>
              </w:rPr>
              <w:t xml:space="preserve">Low priority</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Rename or track withdrawals in totalReceived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VTX-09</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D"/>
                <w:sz w:val="16"/>
                <w:szCs w:val="16"/>
              </w:rPr>
              <w:t xml:space="preserve">Low priority</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6"/>
                <w:szCs w:val="16"/>
              </w:rPr>
              <w:t xml:space="preserve">Add NatSpec warning on minOutput parameter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16"/>
                <w:szCs w:val="16"/>
              </w:rPr>
              <w:t xml:space="preserve">VTX-10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D"/>
                <w:sz w:val="16"/>
                <w:szCs w:val="16"/>
              </w:rPr>
              <w:t xml:space="preserve">Before mainnet</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Review quorum requirements and consider founding veto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7000"/>
                <w:sz w:val="16"/>
                <w:szCs w:val="16"/>
              </w:rPr>
              <w:t xml:space="preserve">Open</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1F3864"/>
          <w:sz w:val="28"/>
          <w:szCs w:val="28"/>
        </w:rPr>
        <w:t xml:space="preserve">6. Recommended Next Steps</w:t>
      </w:r>
    </w:p>
    <w:p>
      <w:pPr>
        <w:spacing w:after="80" w:before="80"/>
      </w:pPr>
      <w:r>
        <w:rPr>
          <w:rFonts w:ascii="Arial" w:cs="Arial" w:eastAsia="Arial" w:hAnsi="Arial"/>
          <w:sz w:val="20"/>
          <w:szCs w:val="20"/>
        </w:rPr>
        <w:t xml:space="preserve">In order of priority:</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Fix VTX-01 (double fee reduction) and VTX-03 (cooldown reset) immediately — both are logic bugs with direct economic impact.</w:t>
      </w:r>
    </w:p>
    <w:p>
      <w:pPr>
        <w:pStyle w:val="ListParagraph"/>
        <w:numPr>
          <w:ilvl w:val="0"/>
          <w:numId w:val="2"/>
        </w:numPr>
        <w:spacing w:after="40" w:before="40"/>
      </w:pPr>
      <w:r>
        <w:rPr>
          <w:rFonts w:ascii="Arial" w:cs="Arial" w:eastAsia="Arial" w:hAnsi="Arial"/>
          <w:sz w:val="20"/>
          <w:szCs w:val="20"/>
        </w:rPr>
        <w:t xml:space="preserve">Decide on the cross-chain trust model (VTX-02) and document it clearly in the whitepaper before public launch.</w:t>
      </w:r>
    </w:p>
    <w:p>
      <w:pPr>
        <w:pStyle w:val="ListParagraph"/>
        <w:numPr>
          <w:ilvl w:val="0"/>
          <w:numId w:val="2"/>
        </w:numPr>
        <w:spacing w:after="40" w:before="40"/>
      </w:pPr>
      <w:r>
        <w:rPr>
          <w:rFonts w:ascii="Arial" w:cs="Arial" w:eastAsia="Arial" w:hAnsi="Arial"/>
          <w:sz w:val="20"/>
          <w:szCs w:val="20"/>
        </w:rPr>
        <w:t xml:space="preserve">Fix VTX-04 (unguarded recordDeposit) before deploying to mainnet.</w:t>
      </w:r>
    </w:p>
    <w:p>
      <w:pPr>
        <w:pStyle w:val="ListParagraph"/>
        <w:numPr>
          <w:ilvl w:val="0"/>
          <w:numId w:val="2"/>
        </w:numPr>
        <w:spacing w:after="40" w:before="40"/>
      </w:pPr>
      <w:r>
        <w:rPr>
          <w:rFonts w:ascii="Arial" w:cs="Arial" w:eastAsia="Arial" w:hAnsi="Arial"/>
          <w:sz w:val="20"/>
          <w:szCs w:val="20"/>
        </w:rPr>
        <w:t xml:space="preserve">Engage an independent auditor (Spearbit, Trail of Bits, Cantina, or Code4rena) after fixing HIGH/MEDIUM issues.</w:t>
      </w:r>
    </w:p>
    <w:p>
      <w:pPr>
        <w:pStyle w:val="ListParagraph"/>
        <w:numPr>
          <w:ilvl w:val="0"/>
          <w:numId w:val="2"/>
        </w:numPr>
        <w:spacing w:after="40" w:before="40"/>
      </w:pPr>
      <w:r>
        <w:rPr>
          <w:rFonts w:ascii="Arial" w:cs="Arial" w:eastAsia="Arial" w:hAnsi="Arial"/>
          <w:sz w:val="20"/>
          <w:szCs w:val="20"/>
        </w:rPr>
        <w:t xml:space="preserve">Launch a public bug bounty on Immunefi concurrent with testnet launch — minimum $50K critical reward.</w:t>
      </w:r>
    </w:p>
    <w:p>
      <w:pPr>
        <w:pStyle w:val="ListParagraph"/>
        <w:numPr>
          <w:ilvl w:val="0"/>
          <w:numId w:val="2"/>
        </w:numPr>
        <w:spacing w:after="40" w:before="40"/>
      </w:pPr>
      <w:r>
        <w:rPr>
          <w:rFonts w:ascii="Arial" w:cs="Arial" w:eastAsia="Arial" w:hAnsi="Arial"/>
          <w:sz w:val="20"/>
          <w:szCs w:val="20"/>
        </w:rPr>
        <w:t xml:space="preserve">Set TVL cap of $500K for the first 30 days post-mainnet as a graduated rollout safeguard.</w:t>
      </w:r>
    </w:p>
    <w:p>
      <w:pPr>
        <w:pStyle w:val="ListParagraph"/>
        <w:numPr>
          <w:ilvl w:val="0"/>
          <w:numId w:val="2"/>
        </w:numPr>
        <w:spacing w:after="40" w:before="40"/>
      </w:pPr>
      <w:r>
        <w:rPr>
          <w:rFonts w:ascii="Arial" w:cs="Arial" w:eastAsia="Arial" w:hAnsi="Arial"/>
          <w:sz w:val="20"/>
          <w:szCs w:val="20"/>
        </w:rPr>
        <w:t xml:space="preserve">Implement a 4/7 Safe Multisig as the deployer/proposer for the first 6 months before transitioning to full on-chain governance.</w:t>
      </w:r>
    </w:p>
    <w:p>
      <w:pPr>
        <w:spacing w:after="60" w:before="60"/>
      </w:pPr>
      <w:r>
        <w:t xml:space="preserve"/>
      </w:r>
    </w:p>
    <w:p>
      <w:pPr>
        <w:spacing w:after="60" w:before="60"/>
      </w:pPr>
      <w:r>
        <w:t xml:space="preserve"/>
      </w:r>
    </w:p>
    <w:p>
      <w:pPr>
        <w:pBdr>
          <w:top w:val="single" w:color="CCCCCC" w:sz="4"/>
        </w:pBdr>
        <w:spacing w:after="240" w:before="240"/>
      </w:pPr>
      <w:r>
        <w:rPr>
          <w:rFonts w:ascii="Arial" w:cs="Arial" w:eastAsia="Arial" w:hAnsi="Arial"/>
          <w:i/>
          <w:iCs/>
          <w:color w:val="595959"/>
          <w:sz w:val="16"/>
          <w:szCs w:val="16"/>
        </w:rPr>
        <w:t xml:space="preserve">This report is an internal self-assessment and does not constitute a professional security audit. It should not be used as a substitute for a full independent audit by a qualified security firm. No warranties, express or implied, are made as to the completeness or correctness of the findings.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595959"/>
        <w:sz w:val="16"/>
        <w:szCs w:val="16"/>
      </w:rPr>
      <w:t xml:space="preserve">CONFIDENTIAL — Internal Pre-Audit Review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D" w:sz="4"/>
      </w:pBdr>
      <w:jc w:val="right"/>
    </w:pPr>
    <w:r>
      <w:rPr>
        <w:rFonts w:ascii="Arial" w:cs="Arial" w:eastAsia="Arial" w:hAnsi="Arial"/>
        <w:b/>
        <w:bCs/>
        <w:color w:val="2E5FAD"/>
        <w:sz w:val="16"/>
        <w:szCs w:val="16"/>
      </w:rPr>
      <w:t xml:space="preserve">VORTEX PROTOCOL — </w:t>
    </w:r>
    <w:r>
      <w:rPr>
        <w:rFonts w:ascii="Arial" w:cs="Arial" w:eastAsia="Arial" w:hAnsi="Arial"/>
        <w:color w:val="595959"/>
        <w:sz w:val="16"/>
        <w:szCs w:val="16"/>
      </w:rPr>
      <w:t xml:space="preserve">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2026-06-23T01:44:45.931Z</dcterms:created>
  <dcterms:modified xsi:type="dcterms:W3CDTF">2026-06-23T01:44:45.932Z</dcterms:modified>
</cp:coreProperties>
</file>

<file path=docProps/custom.xml><?xml version="1.0" encoding="utf-8"?>
<Properties xmlns="http://schemas.openxmlformats.org/officeDocument/2006/custom-properties" xmlns:vt="http://schemas.openxmlformats.org/officeDocument/2006/docPropsVTypes"/>
</file>