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E74B5"/>
          <w:sz w:val="19"/>
        </w:rPr>
        <w:t>PRODUCT REQUIREMENTS DOCUMENT</w:t>
      </w:r>
    </w:p>
    <w:p>
      <w:pPr>
        <w:spacing w:before="80" w:after="80"/>
      </w:pPr>
      <w:r>
        <w:rPr>
          <w:rFonts w:ascii="Calibri" w:hAnsi="Calibri"/>
          <w:b/>
          <w:i w:val="0"/>
          <w:color w:val="0B2545"/>
          <w:sz w:val="52"/>
        </w:rPr>
        <w:t>eTaxPH Agentic Product Architecture</w:t>
      </w:r>
    </w:p>
    <w:p>
      <w:pPr>
        <w:spacing w:before="0" w:after="320"/>
      </w:pPr>
      <w:r>
        <w:rPr>
          <w:rFonts w:ascii="Calibri" w:hAnsi="Calibri"/>
          <w:b w:val="0"/>
          <w:i/>
          <w:color w:val="5B6573"/>
          <w:sz w:val="27"/>
        </w:rPr>
        <w:t>A proactive digital tax companion for Filipino freelancers and self-employed taxpayers</w:t>
      </w:r>
    </w:p>
    <w:p>
      <w:pPr>
        <w:spacing w:before="0" w:after="40"/>
      </w:pPr>
      <w:r>
        <w:rPr>
          <w:rFonts w:ascii="Calibri" w:hAnsi="Calibri"/>
          <w:b/>
          <w:i w:val="0"/>
          <w:color w:val="0B2545"/>
          <w:sz w:val="21"/>
        </w:rPr>
        <w:t xml:space="preserve">Version: </w:t>
      </w:r>
      <w:r>
        <w:rPr>
          <w:rFonts w:ascii="Calibri" w:hAnsi="Calibri"/>
          <w:b w:val="0"/>
          <w:i w:val="0"/>
          <w:color w:val="5B6573"/>
          <w:sz w:val="21"/>
        </w:rPr>
        <w:t>Draft v1.0</w:t>
      </w:r>
    </w:p>
    <w:p>
      <w:pPr>
        <w:spacing w:before="0" w:after="40"/>
      </w:pPr>
      <w:r>
        <w:rPr>
          <w:rFonts w:ascii="Calibri" w:hAnsi="Calibri"/>
          <w:b/>
          <w:i w:val="0"/>
          <w:color w:val="0B2545"/>
          <w:sz w:val="21"/>
        </w:rPr>
        <w:t xml:space="preserve">Prepared for: </w:t>
      </w:r>
      <w:r>
        <w:rPr>
          <w:rFonts w:ascii="Calibri" w:hAnsi="Calibri"/>
          <w:b w:val="0"/>
          <w:i w:val="0"/>
          <w:color w:val="5B6573"/>
          <w:sz w:val="21"/>
        </w:rPr>
        <w:t>eTaxPH product, engineering, tax, and compliance teams</w:t>
      </w:r>
    </w:p>
    <w:p>
      <w:pPr>
        <w:spacing w:before="0" w:after="40"/>
      </w:pPr>
      <w:r>
        <w:rPr>
          <w:rFonts w:ascii="Calibri" w:hAnsi="Calibri"/>
          <w:b/>
          <w:i w:val="0"/>
          <w:color w:val="0B2545"/>
          <w:sz w:val="21"/>
        </w:rPr>
        <w:t xml:space="preserve">Product owner: </w:t>
      </w:r>
      <w:r>
        <w:rPr>
          <w:rFonts w:ascii="Calibri" w:hAnsi="Calibri"/>
          <w:b w:val="0"/>
          <w:i w:val="0"/>
          <w:color w:val="5B6573"/>
          <w:sz w:val="21"/>
        </w:rPr>
        <w:t>Mark Anthony Estopace</w:t>
      </w:r>
    </w:p>
    <w:p>
      <w:pPr>
        <w:spacing w:before="0" w:after="40"/>
      </w:pPr>
      <w:r>
        <w:rPr>
          <w:rFonts w:ascii="Calibri" w:hAnsi="Calibri"/>
          <w:b/>
          <w:i w:val="0"/>
          <w:color w:val="0B2545"/>
          <w:sz w:val="21"/>
        </w:rPr>
        <w:t xml:space="preserve">MVP audience: </w:t>
      </w:r>
      <w:r>
        <w:rPr>
          <w:rFonts w:ascii="Calibri" w:hAnsi="Calibri"/>
          <w:b w:val="0"/>
          <w:i w:val="0"/>
          <w:color w:val="5B6573"/>
          <w:sz w:val="21"/>
        </w:rPr>
        <w:t>Freelancers and self-employed non-VAT taxpayers in the Philippines</w:t>
      </w:r>
    </w:p>
    <w:p>
      <w:pPr>
        <w:spacing w:before="0" w:after="40"/>
      </w:pPr>
      <w:r>
        <w:rPr>
          <w:rFonts w:ascii="Calibri" w:hAnsi="Calibri"/>
          <w:b/>
          <w:i w:val="0"/>
          <w:color w:val="0B2545"/>
          <w:sz w:val="21"/>
        </w:rPr>
        <w:t xml:space="preserve">Regulatory baseline: </w:t>
      </w:r>
      <w:r>
        <w:rPr>
          <w:rFonts w:ascii="Calibri" w:hAnsi="Calibri"/>
          <w:b w:val="0"/>
          <w:i w:val="0"/>
          <w:color w:val="5B6573"/>
          <w:sz w:val="21"/>
        </w:rPr>
        <w:t>Official BIR and National Privacy Commission sources reviewed as of 26 July 2026</w:t>
      </w:r>
    </w:p>
    <w:p>
      <w:pPr>
        <w:spacing w:before="160" w:after="200"/>
        <w:pBdr>
          <w:bottom w:val="single" w:sz="10" w:space="6" w:color="2E74B5"/>
        </w:pBdr>
      </w:pPr>
    </w:p>
    <w:tbl>
      <w:tblPr>
        <w:tblW w:type="dxa" w:w="9360"/>
        <w:jc w:val="left"/>
        <w:tblLayout w:type="fixed"/>
        <w:tblLook w:firstColumn="1" w:firstRow="1" w:lastColumn="0" w:lastRow="0" w:noHBand="0" w:noVBand="1" w:val="04A0"/>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4" w:lineRule="auto"/>
            </w:pPr>
            <w:r>
              <w:rPr>
                <w:rFonts w:ascii="Calibri" w:hAnsi="Calibri"/>
                <w:b/>
                <w:i w:val="0"/>
                <w:color w:val="1F4D78"/>
                <w:sz w:val="22"/>
              </w:rPr>
              <w:t xml:space="preserve">Product promise: </w:t>
            </w:r>
            <w:r>
              <w:rPr>
                <w:rFonts w:ascii="Calibri" w:hAnsi="Calibri"/>
                <w:b w:val="0"/>
                <w:i w:val="0"/>
                <w:color w:val="0B2545"/>
                <w:sz w:val="22"/>
              </w:rPr>
              <w:t>eTaxPH understands the taxpayer's situation, keeps the records and obligations organized, prepares the next compliant action, explains why it is needed, and asks for approval before anything is filed or paid.</w:t>
            </w:r>
          </w:p>
        </w:tc>
      </w:tr>
    </w:tbl>
    <w:p>
      <w:pPr>
        <w:spacing w:after="0"/>
      </w:pPr>
    </w:p>
    <w:p>
      <w:pPr>
        <w:pStyle w:val="Heading1"/>
      </w:pPr>
      <w:r>
        <w:t>1. Executive Summary</w:t>
      </w:r>
    </w:p>
    <w:p>
      <w:pPr>
        <w:spacing w:before="0" w:after="120" w:line="264" w:lineRule="auto"/>
      </w:pPr>
      <w:r>
        <w:rPr>
          <w:rFonts w:ascii="Calibri" w:hAnsi="Calibri"/>
          <w:b w:val="0"/>
          <w:i w:val="0"/>
          <w:color w:val="0B2545"/>
          <w:sz w:val="22"/>
        </w:rPr>
        <w:t>eTaxPH is a journey-based digital tax companion for Filipino taxpayers. It guides registration, recordkeeping, compliance, filing, and payment as one continuous experience instead of presenting disconnected forms and agency processes.</w:t>
      </w:r>
    </w:p>
    <w:p>
      <w:pPr>
        <w:spacing w:before="0" w:after="120" w:line="264" w:lineRule="auto"/>
      </w:pPr>
      <w:r>
        <w:rPr>
          <w:rFonts w:ascii="Calibri" w:hAnsi="Calibri"/>
          <w:b w:val="0"/>
          <w:i w:val="0"/>
          <w:color w:val="0B2545"/>
          <w:sz w:val="22"/>
        </w:rPr>
        <w:t>The recommended product model is agentic, but controlled. Specialized agents continuously interpret the taxpayer profile, organize evidence, monitor obligations, calculate taxes, prepare filing packages, and resolve exceptions. A central orchestrator coordinates the work. Deterministic services remain responsible for tax computations, deadlines, eligibility, and form mapping; generative AI is used for extraction, classification, explanation, and conversational guidance.</w:t>
      </w:r>
    </w:p>
    <w:p>
      <w:pPr>
        <w:spacing w:before="0" w:after="120" w:line="264" w:lineRule="auto"/>
      </w:pPr>
      <w:r>
        <w:rPr>
          <w:rFonts w:ascii="Calibri" w:hAnsi="Calibri"/>
          <w:b w:val="0"/>
          <w:i w:val="0"/>
          <w:color w:val="0B2545"/>
          <w:sz w:val="22"/>
        </w:rPr>
        <w:t>The MVP should not depend on an unconfirmed public filing API. It should prepare accurate, reviewable returns and direct the user into official BIR registration, filing, and payment channels. Direct filing and payment become later capabilities only through an authorized integration and explicit taxpayer approval.</w:t>
      </w:r>
    </w:p>
    <w:p>
      <w:pPr>
        <w:pStyle w:val="Heading2"/>
      </w:pPr>
      <w:r>
        <w:t>1.1 Recommended MVP Decision</w:t>
      </w:r>
    </w:p>
    <w:p>
      <w:pPr>
        <w:numPr>
          <w:ilvl w:val="0"/>
          <w:numId w:val="80"/>
        </w:numPr>
      </w:pPr>
      <w:r>
        <w:rPr>
          <w:rFonts w:ascii="Calibri" w:hAnsi="Calibri"/>
          <w:b w:val="0"/>
          <w:i w:val="0"/>
          <w:color w:val="0B2545"/>
          <w:sz w:val="22"/>
        </w:rPr>
        <w:t>Target freelancers and self-employed non-VAT taxpayers first, including professionals, online sellers, content creators, and independent contractors.</w:t>
      </w:r>
    </w:p>
    <w:p>
      <w:pPr>
        <w:numPr>
          <w:ilvl w:val="0"/>
          <w:numId w:val="80"/>
        </w:numPr>
      </w:pPr>
      <w:r>
        <w:rPr>
          <w:rFonts w:ascii="Calibri" w:hAnsi="Calibri"/>
          <w:b w:val="0"/>
          <w:i w:val="0"/>
          <w:color w:val="0B2545"/>
          <w:sz w:val="22"/>
        </w:rPr>
        <w:t>Support tax-profile creation, transaction and document capture, obligation monitoring, deterministic computation, return preparation, review, and proof storage.</w:t>
      </w:r>
    </w:p>
    <w:p>
      <w:pPr>
        <w:numPr>
          <w:ilvl w:val="0"/>
          <w:numId w:val="80"/>
        </w:numPr>
      </w:pPr>
      <w:r>
        <w:rPr>
          <w:rFonts w:ascii="Calibri" w:hAnsi="Calibri"/>
          <w:b w:val="0"/>
          <w:i w:val="0"/>
          <w:color w:val="0B2545"/>
          <w:sz w:val="22"/>
        </w:rPr>
        <w:t>Treat every external submission, payment, profile change, and irreversible correction as a human approval gate.</w:t>
      </w:r>
    </w:p>
    <w:p>
      <w:pPr>
        <w:numPr>
          <w:ilvl w:val="0"/>
          <w:numId w:val="80"/>
        </w:numPr>
      </w:pPr>
      <w:r>
        <w:rPr>
          <w:rFonts w:ascii="Calibri" w:hAnsi="Calibri"/>
          <w:b w:val="0"/>
          <w:i w:val="0"/>
          <w:color w:val="0B2545"/>
          <w:sz w:val="22"/>
        </w:rPr>
        <w:t>Version every tax rule, form mapping, deadline, and source so past computations remain reproducible after regulations change.</w:t>
      </w:r>
    </w:p>
    <w:p>
      <w:pPr>
        <w:numPr>
          <w:ilvl w:val="0"/>
          <w:numId w:val="80"/>
        </w:numPr>
      </w:pPr>
      <w:r>
        <w:rPr>
          <w:rFonts w:ascii="Calibri" w:hAnsi="Calibri"/>
          <w:b w:val="0"/>
          <w:i w:val="0"/>
          <w:color w:val="0B2545"/>
          <w:sz w:val="22"/>
        </w:rPr>
        <w:t>Use official sources as the knowledge baseline and show the source, effective date, and assumptions behind material tax guidance.</w:t>
      </w:r>
    </w:p>
    <w:p>
      <w:pPr>
        <w:pStyle w:val="Heading1"/>
      </w:pPr>
      <w:r>
        <w:t>2. Product Fundamentals</w:t>
      </w:r>
    </w:p>
    <w:p>
      <w:pPr>
        <w:pStyle w:val="Heading2"/>
      </w:pPr>
      <w:r>
        <w:t>2.1 Vision</w:t>
      </w:r>
    </w:p>
    <w:p>
      <w:pPr>
        <w:spacing w:before="0" w:after="120" w:line="264" w:lineRule="auto"/>
      </w:pPr>
      <w:r>
        <w:rPr>
          <w:rFonts w:ascii="Calibri" w:hAnsi="Calibri"/>
          <w:b w:val="0"/>
          <w:i w:val="0"/>
          <w:color w:val="0B2545"/>
          <w:sz w:val="22"/>
        </w:rPr>
        <w:t>Make Philippine tax compliance understandable and manageable for people who earn independently, without requiring them to become tax experts or manually reconstruct their financial activity every filing period.</w:t>
      </w:r>
    </w:p>
    <w:p>
      <w:pPr>
        <w:pStyle w:val="Heading2"/>
      </w:pPr>
      <w:r>
        <w:t>2.2 Positioning</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i w:val="0"/>
                <w:color w:val="1F4D78"/>
                <w:sz w:val="22"/>
              </w:rPr>
              <w:t xml:space="preserve">Positioning statement: </w:t>
            </w:r>
            <w:r>
              <w:rPr>
                <w:rFonts w:ascii="Calibri" w:hAnsi="Calibri"/>
                <w:b w:val="0"/>
                <w:i w:val="0"/>
                <w:color w:val="0B2545"/>
                <w:sz w:val="22"/>
              </w:rPr>
              <w:t>For Filipino freelancers and self-employed taxpayers who are unsure what to register, record, file, pay, or do next, eTaxPH is an agentic tax companion that turns tax compliance into a guided journey. Unlike a static calculator or FAQ bot, it maintains context, prepares work, checks evidence, and coordinates approved actions.</w:t>
            </w:r>
          </w:p>
        </w:tc>
      </w:tr>
    </w:tbl>
    <w:p>
      <w:pPr>
        <w:spacing w:after="0"/>
      </w:pPr>
    </w:p>
    <w:p>
      <w:pPr>
        <w:pStyle w:val="Heading2"/>
      </w:pPr>
      <w:r>
        <w:t>2.3 Primary Users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50"/>
        <w:gridCol w:w="3400"/>
        <w:gridCol w:w="4310"/>
      </w:tblGrid>
      <w:tr>
        <w:trPr>
          <w:cantSplit/>
          <w:tblHeader w:val="true"/>
        </w:trPr>
        <w:tc>
          <w:tcPr>
            <w:tcW w:type="dxa" w:w="16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User</w:t>
            </w:r>
          </w:p>
        </w:tc>
        <w:tc>
          <w:tcPr>
            <w:tcW w:type="dxa" w:w="34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Typical situation</w:t>
            </w:r>
          </w:p>
        </w:tc>
        <w:tc>
          <w:tcPr>
            <w:tcW w:type="dxa" w:w="43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Primary need</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Freelancer</w:t>
            </w:r>
          </w:p>
        </w:tc>
        <w:tc>
          <w:tcPr>
            <w:tcW w:type="dxa" w:w="34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Project- or contract-based income from local or overseas clients</w:t>
            </w:r>
          </w:p>
        </w:tc>
        <w:tc>
          <w:tcPr>
            <w:tcW w:type="dxa" w:w="4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Income tracking, invoices, withholding credits, quarterly and annual readiness</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Licensed professional</w:t>
            </w:r>
          </w:p>
        </w:tc>
        <w:tc>
          <w:tcPr>
            <w:tcW w:type="dxa" w:w="34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Fees from professional practice</w:t>
            </w:r>
          </w:p>
        </w:tc>
        <w:tc>
          <w:tcPr>
            <w:tcW w:type="dxa" w:w="4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Registration guidance, expense capture, filing preparation</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Online seller</w:t>
            </w:r>
          </w:p>
        </w:tc>
        <w:tc>
          <w:tcPr>
            <w:tcW w:type="dxa" w:w="34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Marketplace, social-commerce, or direct sales</w:t>
            </w:r>
          </w:p>
        </w:tc>
        <w:tc>
          <w:tcPr>
            <w:tcW w:type="dxa" w:w="4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Sales consolidation, invoice records, threshold monitoring</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Content creator</w:t>
            </w:r>
          </w:p>
        </w:tc>
        <w:tc>
          <w:tcPr>
            <w:tcW w:type="dxa" w:w="34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Platform, sponsorship, affiliate, or brand income</w:t>
            </w:r>
          </w:p>
        </w:tc>
        <w:tc>
          <w:tcPr>
            <w:tcW w:type="dxa" w:w="4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Multi-source income capture and tax classification</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Independent contractor</w:t>
            </w:r>
          </w:p>
        </w:tc>
        <w:tc>
          <w:tcPr>
            <w:tcW w:type="dxa" w:w="34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Recurring service income without payroll withholding</w:t>
            </w:r>
          </w:p>
        </w:tc>
        <w:tc>
          <w:tcPr>
            <w:tcW w:type="dxa" w:w="4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Income reconciliation, estimated taxes, compliance calendar</w:t>
            </w:r>
          </w:p>
        </w:tc>
      </w:tr>
      <w:tr>
        <w:trPr>
          <w:cantSplit/>
        </w:trPr>
        <w:tc>
          <w:tcPr>
            <w:tcW w:type="dxa" w:w="16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Micro business owner</w:t>
            </w:r>
          </w:p>
        </w:tc>
        <w:tc>
          <w:tcPr>
            <w:tcW w:type="dxa" w:w="34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Simple non-VAT business operations</w:t>
            </w:r>
          </w:p>
        </w:tc>
        <w:tc>
          <w:tcPr>
            <w:tcW w:type="dxa" w:w="4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Basic books, invoices, expenses, returns, and payment evidence</w:t>
            </w:r>
          </w:p>
        </w:tc>
      </w:tr>
    </w:tbl>
    <w:p>
      <w:pPr>
        <w:spacing w:after="0"/>
      </w:pPr>
    </w:p>
    <w:p>
      <w:pPr>
        <w:pStyle w:val="Heading2"/>
      </w:pPr>
      <w:r>
        <w:t>2.4 Jobs to Be Done</w:t>
      </w:r>
    </w:p>
    <w:p>
      <w:pPr>
        <w:numPr>
          <w:ilvl w:val="0"/>
          <w:numId w:val="80"/>
        </w:numPr>
      </w:pPr>
      <w:r>
        <w:rPr>
          <w:rFonts w:ascii="Calibri" w:hAnsi="Calibri"/>
          <w:b w:val="0"/>
          <w:i w:val="0"/>
          <w:color w:val="0B2545"/>
          <w:sz w:val="22"/>
        </w:rPr>
        <w:t>Tell me what tax profile and registrations apply to my actual source of income.</w:t>
      </w:r>
    </w:p>
    <w:p>
      <w:pPr>
        <w:numPr>
          <w:ilvl w:val="0"/>
          <w:numId w:val="80"/>
        </w:numPr>
      </w:pPr>
      <w:r>
        <w:rPr>
          <w:rFonts w:ascii="Calibri" w:hAnsi="Calibri"/>
          <w:b w:val="0"/>
          <w:i w:val="0"/>
          <w:color w:val="0B2545"/>
          <w:sz w:val="22"/>
        </w:rPr>
        <w:t>Keep my records complete enough that filing is not a last-minute reconstruction.</w:t>
      </w:r>
    </w:p>
    <w:p>
      <w:pPr>
        <w:numPr>
          <w:ilvl w:val="0"/>
          <w:numId w:val="80"/>
        </w:numPr>
      </w:pPr>
      <w:r>
        <w:rPr>
          <w:rFonts w:ascii="Calibri" w:hAnsi="Calibri"/>
          <w:b w:val="0"/>
          <w:i w:val="0"/>
          <w:color w:val="0B2545"/>
          <w:sz w:val="22"/>
        </w:rPr>
        <w:t>Tell me what is due, when it is due, how much I may owe, and what evidence is missing.</w:t>
      </w:r>
    </w:p>
    <w:p>
      <w:pPr>
        <w:numPr>
          <w:ilvl w:val="0"/>
          <w:numId w:val="80"/>
        </w:numPr>
      </w:pPr>
      <w:r>
        <w:rPr>
          <w:rFonts w:ascii="Calibri" w:hAnsi="Calibri"/>
          <w:b w:val="0"/>
          <w:i w:val="0"/>
          <w:color w:val="0B2545"/>
          <w:sz w:val="22"/>
        </w:rPr>
        <w:t>Prepare a return I can understand and verify before submission.</w:t>
      </w:r>
    </w:p>
    <w:p>
      <w:pPr>
        <w:numPr>
          <w:ilvl w:val="0"/>
          <w:numId w:val="80"/>
        </w:numPr>
      </w:pPr>
      <w:r>
        <w:rPr>
          <w:rFonts w:ascii="Calibri" w:hAnsi="Calibri"/>
          <w:b w:val="0"/>
          <w:i w:val="0"/>
          <w:color w:val="0B2545"/>
          <w:sz w:val="22"/>
        </w:rPr>
        <w:t>Help me complete payment and preserve proof that the obligation was satisfied.</w:t>
      </w:r>
    </w:p>
    <w:p>
      <w:pPr>
        <w:numPr>
          <w:ilvl w:val="0"/>
          <w:numId w:val="80"/>
        </w:numPr>
      </w:pPr>
      <w:r>
        <w:rPr>
          <w:rFonts w:ascii="Calibri" w:hAnsi="Calibri"/>
          <w:b w:val="0"/>
          <w:i w:val="0"/>
          <w:color w:val="0B2545"/>
          <w:sz w:val="22"/>
        </w:rPr>
        <w:t>Explain issues in plain English or Filipino without hiding assumptions or source authority.</w:t>
      </w:r>
    </w:p>
    <w:p>
      <w:pPr>
        <w:pStyle w:val="Heading2"/>
      </w:pPr>
      <w:r>
        <w:t>2.5 Product Principles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rPr>
          <w:cantSplit/>
          <w:tblHeader w:val="true"/>
        </w:trPr>
        <w:tc>
          <w:tcPr>
            <w:tcW w:type="dxa" w:w="23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Principle</w:t>
            </w:r>
          </w:p>
        </w:tc>
        <w:tc>
          <w:tcPr>
            <w:tcW w:type="dxa" w:w="70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Product consequence</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Journey before forms</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Lead with the taxpayer's situation and next action; reveal forms only when needed.</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Prepare before acting</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Agents may gather and draft autonomously, but material external actions require approval.</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Rules before language models</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Deterministic rules own computation, eligibility, deadlines, and validation.</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Evidence over confidence</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Every material result links to records, assumptions, rule version, and official source.</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Exceptions are normal</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Low-confidence or conflicting cases move into a clear review queue.</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Privacy by design</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Collect only necessary data, isolate taxpayer records, and make access and deletion understandable.</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Progressive complexity</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Keep the MVP simple for non-VAT self-employed taxpayers while allowing future tax profiles.</w:t>
            </w:r>
          </w:p>
        </w:tc>
      </w:tr>
    </w:tbl>
    <w:p>
      <w:pPr>
        <w:spacing w:after="0"/>
      </w:pPr>
    </w:p>
    <w:p>
      <w:pPr>
        <w:pStyle w:val="Heading1"/>
      </w:pPr>
      <w:r>
        <w:t>3. Scope and Product Boundaries</w:t>
      </w:r>
    </w:p>
    <w:p>
      <w:pPr>
        <w:pStyle w:val="Heading2"/>
      </w:pPr>
      <w:r>
        <w:t>3.1 MVP Scope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7460"/>
      </w:tblGrid>
      <w:tr>
        <w:trPr>
          <w:cantSplit/>
          <w:tblHeader w:val="true"/>
        </w:trPr>
        <w:tc>
          <w:tcPr>
            <w:tcW w:type="dxa" w:w="19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Capability</w:t>
            </w:r>
          </w:p>
        </w:tc>
        <w:tc>
          <w:tcPr>
            <w:tcW w:type="dxa" w:w="74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MVP outcome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Tax profile</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Guided onboarding, registration status, tax regime, income sources, tax types, RDO and filing-channel readiness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Records</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Manual entry, CSV import, uploaded documents, transaction classification, reconciliation, withholding credits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Invoices</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Invoice records, numbering control, customer data, PDF generation, issued/cancelled status, evidence retention</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Compliance</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Personalized obligations, deadline calendar, readiness checks, reminders, compliance score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Computation</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Versioned quarterly and annual estimates using configured deterministic rules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Filing</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Draft return data, validation, review summary, export or guided official-channel hand-off</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Payment</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Amount confirmation, approved channel hand-off, payment-reference capture, proof storage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Assistant</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Context-aware questions, explanations, action plans, and exception resolution</w:t>
            </w:r>
          </w:p>
        </w:tc>
      </w:tr>
    </w:tbl>
    <w:p>
      <w:pPr>
        <w:spacing w:after="0"/>
      </w:pPr>
    </w:p>
    <w:p>
      <w:pPr>
        <w:pStyle w:val="Heading2"/>
      </w:pPr>
      <w:r>
        <w:t>3.2 Explicitly Outside the Initial MVP</w:t>
      </w:r>
    </w:p>
    <w:p>
      <w:pPr>
        <w:numPr>
          <w:ilvl w:val="0"/>
          <w:numId w:val="80"/>
        </w:numPr>
      </w:pPr>
      <w:r>
        <w:rPr>
          <w:rFonts w:ascii="Calibri" w:hAnsi="Calibri"/>
          <w:b w:val="0"/>
          <w:i w:val="0"/>
          <w:color w:val="0B2545"/>
          <w:sz w:val="22"/>
        </w:rPr>
        <w:t>Autonomous filing or payment without user review and explicit consent.</w:t>
      </w:r>
    </w:p>
    <w:p>
      <w:pPr>
        <w:numPr>
          <w:ilvl w:val="0"/>
          <w:numId w:val="80"/>
        </w:numPr>
      </w:pPr>
      <w:r>
        <w:rPr>
          <w:rFonts w:ascii="Calibri" w:hAnsi="Calibri"/>
          <w:b w:val="0"/>
          <w:i w:val="0"/>
          <w:color w:val="0B2545"/>
          <w:sz w:val="22"/>
        </w:rPr>
        <w:t>Guaranteed tax advice for unresolved, disputed, or highly specialized cases.</w:t>
      </w:r>
    </w:p>
    <w:p>
      <w:pPr>
        <w:numPr>
          <w:ilvl w:val="0"/>
          <w:numId w:val="80"/>
        </w:numPr>
      </w:pPr>
      <w:r>
        <w:rPr>
          <w:rFonts w:ascii="Calibri" w:hAnsi="Calibri"/>
          <w:b w:val="0"/>
          <w:i w:val="0"/>
          <w:color w:val="0B2545"/>
          <w:sz w:val="22"/>
        </w:rPr>
        <w:t>VAT, corporate income tax, payroll, estate, donor, excise, and transfer tax workflows.</w:t>
      </w:r>
    </w:p>
    <w:p>
      <w:pPr>
        <w:numPr>
          <w:ilvl w:val="0"/>
          <w:numId w:val="80"/>
        </w:numPr>
      </w:pPr>
      <w:r>
        <w:rPr>
          <w:rFonts w:ascii="Calibri" w:hAnsi="Calibri"/>
          <w:b w:val="0"/>
          <w:i w:val="0"/>
          <w:color w:val="0B2545"/>
          <w:sz w:val="22"/>
        </w:rPr>
        <w:t>Full double-entry accounting, inventory, payroll, or financial-statement preparation.</w:t>
      </w:r>
    </w:p>
    <w:p>
      <w:pPr>
        <w:numPr>
          <w:ilvl w:val="0"/>
          <w:numId w:val="80"/>
        </w:numPr>
      </w:pPr>
      <w:r>
        <w:rPr>
          <w:rFonts w:ascii="Calibri" w:hAnsi="Calibri"/>
          <w:b w:val="0"/>
          <w:i w:val="0"/>
          <w:color w:val="0B2545"/>
          <w:sz w:val="22"/>
        </w:rPr>
        <w:t>Representing eTaxPH as the BIR or implying government endorsement.</w:t>
      </w:r>
    </w:p>
    <w:p>
      <w:pPr>
        <w:numPr>
          <w:ilvl w:val="0"/>
          <w:numId w:val="80"/>
        </w:numPr>
      </w:pPr>
      <w:r>
        <w:rPr>
          <w:rFonts w:ascii="Calibri" w:hAnsi="Calibri"/>
          <w:b w:val="0"/>
          <w:i w:val="0"/>
          <w:color w:val="0B2545"/>
          <w:sz w:val="22"/>
        </w:rPr>
        <w:t>Using user tax documents to train general-purpose models without separate, informed consent.</w:t>
      </w:r>
    </w:p>
    <w:p>
      <w:pPr>
        <w:pStyle w:val="Heading2"/>
      </w:pPr>
      <w:r>
        <w:t>3.3 Regulatory and Integration Assumptions</w:t>
      </w:r>
    </w:p>
    <w:p>
      <w:pPr>
        <w:spacing w:before="0" w:after="120" w:line="264" w:lineRule="auto"/>
      </w:pPr>
      <w:r>
        <w:rPr>
          <w:rFonts w:ascii="Calibri" w:hAnsi="Calibri"/>
          <w:b w:val="0"/>
          <w:i w:val="0"/>
          <w:color w:val="0B2545"/>
          <w:sz w:val="22"/>
        </w:rPr>
        <w:t>BIR registration, filing, and payment channels are treated as authoritative external systems. eTaxPH must not assume undocumented production APIs. Until a formal integration is available, the product prepares, validates, exports, and guides the taxpayer through ORUS, eBIRForms or eFPS where applicable, and official ePayment channels.</w:t>
      </w:r>
    </w:p>
    <w:p>
      <w:pPr>
        <w:spacing w:before="0" w:after="120" w:line="264" w:lineRule="auto"/>
      </w:pPr>
      <w:r>
        <w:rPr>
          <w:rFonts w:ascii="Calibri" w:hAnsi="Calibri"/>
          <w:b w:val="0"/>
          <w:i w:val="0"/>
          <w:color w:val="0B2545"/>
          <w:sz w:val="22"/>
        </w:rPr>
        <w:t>Forms and rules must be configuration-driven. The rules engine may map profiles to items such as BIR Form 1901, 1701Q, 1701A or 1701-MS, 2551Q, and withholding certificates only when the active official rule set establishes that mapping. The UI must never hard-code one form as universally applicable.</w:t>
      </w:r>
    </w:p>
    <w:p>
      <w:pPr>
        <w:pStyle w:val="Heading1"/>
      </w:pPr>
      <w:r>
        <w:t>4. Agentic Operating Model</w:t>
      </w:r>
    </w:p>
    <w:p>
      <w:pPr>
        <w:pStyle w:val="Heading2"/>
      </w:pPr>
      <w:r>
        <w:t>4.1 What Agentic Means in eTaxPH</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50"/>
        <w:gridCol w:w="5600"/>
        <w:gridCol w:w="2310"/>
      </w:tblGrid>
      <w:tr>
        <w:trPr>
          <w:cantSplit/>
          <w:tblHeader w:val="true"/>
        </w:trPr>
        <w:tc>
          <w:tcPr>
            <w:tcW w:type="dxa" w:w="14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Mode</w:t>
            </w:r>
          </w:p>
        </w:tc>
        <w:tc>
          <w:tcPr>
            <w:tcW w:type="dxa" w:w="56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Agent behavior</w:t>
            </w:r>
          </w:p>
        </w:tc>
        <w:tc>
          <w:tcPr>
            <w:tcW w:type="dxa" w:w="23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Control</w:t>
            </w:r>
          </w:p>
        </w:tc>
      </w:tr>
      <w:tr>
        <w:trPr>
          <w:cantSplit/>
        </w:trPr>
        <w:tc>
          <w:tcPr>
            <w:tcW w:type="dxa" w:w="14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Observe</w:t>
            </w:r>
          </w:p>
        </w:tc>
        <w:tc>
          <w:tcPr>
            <w:tcW w:type="dxa" w:w="56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Detect new records, deadlines, missing documents, and threshold movement</w:t>
            </w:r>
          </w:p>
        </w:tc>
        <w:tc>
          <w:tcPr>
            <w:tcW w:type="dxa" w:w="2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No approval</w:t>
            </w:r>
          </w:p>
        </w:tc>
      </w:tr>
      <w:tr>
        <w:trPr>
          <w:cantSplit/>
        </w:trPr>
        <w:tc>
          <w:tcPr>
            <w:tcW w:type="dxa" w:w="14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Interpret</w:t>
            </w:r>
          </w:p>
        </w:tc>
        <w:tc>
          <w:tcPr>
            <w:tcW w:type="dxa" w:w="56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Classify transactions, identify likely obligations, and surface assumptions</w:t>
            </w:r>
          </w:p>
        </w:tc>
        <w:tc>
          <w:tcPr>
            <w:tcW w:type="dxa" w:w="2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No approval; show confidence</w:t>
            </w:r>
          </w:p>
        </w:tc>
      </w:tr>
      <w:tr>
        <w:trPr>
          <w:cantSplit/>
        </w:trPr>
        <w:tc>
          <w:tcPr>
            <w:tcW w:type="dxa" w:w="14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Prepare</w:t>
            </w:r>
          </w:p>
        </w:tc>
        <w:tc>
          <w:tcPr>
            <w:tcW w:type="dxa" w:w="56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Build reconciliations, computation runs, checklists, drafts, and payment instructions</w:t>
            </w:r>
          </w:p>
        </w:tc>
        <w:tc>
          <w:tcPr>
            <w:tcW w:type="dxa" w:w="2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No approval until ready</w:t>
            </w:r>
          </w:p>
        </w:tc>
      </w:tr>
      <w:tr>
        <w:trPr>
          <w:cantSplit/>
        </w:trPr>
        <w:tc>
          <w:tcPr>
            <w:tcW w:type="dxa" w:w="14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Recommend</w:t>
            </w:r>
          </w:p>
        </w:tc>
        <w:tc>
          <w:tcPr>
            <w:tcW w:type="dxa" w:w="56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Propose a filing, correction, tax-profile update, or escalation</w:t>
            </w:r>
          </w:p>
        </w:tc>
        <w:tc>
          <w:tcPr>
            <w:tcW w:type="dxa" w:w="2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User reviews rationale</w:t>
            </w:r>
          </w:p>
        </w:tc>
      </w:tr>
      <w:tr>
        <w:trPr>
          <w:cantSplit/>
        </w:trPr>
        <w:tc>
          <w:tcPr>
            <w:tcW w:type="dxa" w:w="14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Act</w:t>
            </w:r>
          </w:p>
        </w:tc>
        <w:tc>
          <w:tcPr>
            <w:tcW w:type="dxa" w:w="56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Submit, pay, issue, cancel, or update external records</w:t>
            </w:r>
          </w:p>
        </w:tc>
        <w:tc>
          <w:tcPr>
            <w:tcW w:type="dxa" w:w="2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Explicit approval and strong authentication</w:t>
            </w:r>
          </w:p>
        </w:tc>
      </w:tr>
      <w:tr>
        <w:trPr>
          <w:cantSplit/>
        </w:trPr>
        <w:tc>
          <w:tcPr>
            <w:tcW w:type="dxa" w:w="14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Verify</w:t>
            </w:r>
          </w:p>
        </w:tc>
        <w:tc>
          <w:tcPr>
            <w:tcW w:type="dxa" w:w="56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Capture acknowledgements, payment references, and resulting compliance state</w:t>
            </w:r>
          </w:p>
        </w:tc>
        <w:tc>
          <w:tcPr>
            <w:tcW w:type="dxa" w:w="2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Automatic after approved action</w:t>
            </w:r>
          </w:p>
        </w:tc>
      </w:tr>
    </w:tbl>
    <w:p>
      <w:pPr>
        <w:spacing w:after="0"/>
      </w:pPr>
    </w:p>
    <w:p>
      <w:pPr>
        <w:pStyle w:val="Heading2"/>
      </w:pPr>
      <w:r>
        <w:t>4.2 Agent Topology</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50"/>
        <w:gridCol w:w="4780"/>
        <w:gridCol w:w="3030"/>
      </w:tblGrid>
      <w:tr>
        <w:trPr>
          <w:cantSplit/>
          <w:tblHeader w:val="true"/>
        </w:trPr>
        <w:tc>
          <w:tcPr>
            <w:tcW w:type="dxa" w:w="15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Agent</w:t>
            </w:r>
          </w:p>
        </w:tc>
        <w:tc>
          <w:tcPr>
            <w:tcW w:type="dxa" w:w="478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Responsibility</w:t>
            </w:r>
          </w:p>
        </w:tc>
        <w:tc>
          <w:tcPr>
            <w:tcW w:type="dxa" w:w="303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Hard boundary</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Orchestrator</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Maintains the taxpayer journey, delegates tasks, resolves dependencies, and presents one next-best action.</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bypass approval, policy, or rule-engine results.</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Tax Profile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Builds registration and tax-regime context from user answers and official records.</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silently change the taxpayer profile or elect a tax treatment.</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Bookkeeping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Normalizes, categorizes, deduplicates, and reconciles income and expense records.</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treat low-confidence classifications as final.</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Document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Extracts fields from invoices, receipts, certificates, forms, and acknowledgements.</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discard originals or overwrite verified values without history.</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Invoice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Prepares invoice records, numbering, customer details, and status tracking.</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issue, cancel, or re-number without authorization and validation.</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Compliance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Generates obligations, monitors deadlines, evaluates readiness, and creates remediation tasks.</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mark an obligation complete without accepted evidence.</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Computation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Requests deterministic calculation, compares scenarios, and explains inputs and outputs.</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calculate tax using free-form language-model arithmetic.</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Filing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Maps verified data into a return draft, runs validations, and prepares an official-channel hand-off.</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submit an unresolved or unapproved return.</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Payment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Builds payment instructions, confirms amount and period, and captures proof.</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initiate or confirm payment without user approval and external evidence.</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Assurance Agent</w:t>
            </w:r>
          </w:p>
        </w:tc>
        <w:tc>
          <w:tcPr>
            <w:tcW w:type="dxa" w:w="478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Reviews contradictions, rule coverage, source freshness, unusual changes, and audit completeness.</w:t>
            </w:r>
          </w:p>
        </w:tc>
        <w:tc>
          <w:tcPr>
            <w:tcW w:type="dxa" w:w="303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Cannot override tax rules; it opens exceptions for review.</w:t>
            </w:r>
          </w:p>
        </w:tc>
      </w:tr>
    </w:tbl>
    <w:p>
      <w:pPr>
        <w:spacing w:after="0"/>
      </w:pPr>
    </w:p>
    <w:p>
      <w:pPr>
        <w:pStyle w:val="Heading2"/>
      </w:pPr>
      <w:r>
        <w:t>4.3 Orchestration Policy</w:t>
      </w:r>
    </w:p>
    <w:p>
      <w:pPr>
        <w:numPr>
          <w:ilvl w:val="0"/>
          <w:numId w:val="80"/>
        </w:numPr>
      </w:pPr>
      <w:r>
        <w:rPr>
          <w:rFonts w:ascii="Calibri" w:hAnsi="Calibri"/>
          <w:b w:val="0"/>
          <w:i w:val="0"/>
          <w:color w:val="0B2545"/>
          <w:sz w:val="22"/>
        </w:rPr>
        <w:t>One taxpayer-visible plan: the orchestrator combines agent outputs into a single ordered checklist.</w:t>
      </w:r>
    </w:p>
    <w:p>
      <w:pPr>
        <w:numPr>
          <w:ilvl w:val="0"/>
          <w:numId w:val="80"/>
        </w:numPr>
      </w:pPr>
      <w:r>
        <w:rPr>
          <w:rFonts w:ascii="Calibri" w:hAnsi="Calibri"/>
          <w:b w:val="0"/>
          <w:i w:val="0"/>
          <w:color w:val="0B2545"/>
          <w:sz w:val="22"/>
        </w:rPr>
        <w:t>Every task has an owner agent, required inputs, rule version, confidence, risk level, and completion evidence.</w:t>
      </w:r>
    </w:p>
    <w:p>
      <w:pPr>
        <w:numPr>
          <w:ilvl w:val="0"/>
          <w:numId w:val="80"/>
        </w:numPr>
      </w:pPr>
      <w:r>
        <w:rPr>
          <w:rFonts w:ascii="Calibri" w:hAnsi="Calibri"/>
          <w:b w:val="0"/>
          <w:i w:val="0"/>
          <w:color w:val="0B2545"/>
          <w:sz w:val="22"/>
        </w:rPr>
        <w:t>A task may be retried automatically only when the action is reversible and does not change an external system.</w:t>
      </w:r>
    </w:p>
    <w:p>
      <w:pPr>
        <w:numPr>
          <w:ilvl w:val="0"/>
          <w:numId w:val="80"/>
        </w:numPr>
      </w:pPr>
      <w:r>
        <w:rPr>
          <w:rFonts w:ascii="Calibri" w:hAnsi="Calibri"/>
          <w:b w:val="0"/>
          <w:i w:val="0"/>
          <w:color w:val="0B2545"/>
          <w:sz w:val="22"/>
        </w:rPr>
        <w:t>Conflicting agent outputs are never averaged. The assurance agent compares evidence and opens an exception.</w:t>
      </w:r>
    </w:p>
    <w:p>
      <w:pPr>
        <w:numPr>
          <w:ilvl w:val="0"/>
          <w:numId w:val="80"/>
        </w:numPr>
      </w:pPr>
      <w:r>
        <w:rPr>
          <w:rFonts w:ascii="Calibri" w:hAnsi="Calibri"/>
          <w:b w:val="0"/>
          <w:i w:val="0"/>
          <w:color w:val="0B2545"/>
          <w:sz w:val="22"/>
        </w:rPr>
        <w:t>All completed tasks produce an audit event containing actor, inputs, tools, rule version, result, and timestamp.</w:t>
      </w:r>
    </w:p>
    <w:p>
      <w:pPr>
        <w:pStyle w:val="Heading2"/>
      </w:pPr>
      <w:r>
        <w:t>4.4 Confidence and Approval Policy</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610"/>
        <w:gridCol w:w="3950"/>
      </w:tblGrid>
      <w:tr>
        <w:trPr>
          <w:cantSplit/>
          <w:tblHeader w:val="true"/>
        </w:trPr>
        <w:tc>
          <w:tcPr>
            <w:tcW w:type="dxa" w:w="18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Class</w:t>
            </w:r>
          </w:p>
        </w:tc>
        <w:tc>
          <w:tcPr>
            <w:tcW w:type="dxa" w:w="36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Condition</w:t>
            </w:r>
          </w:p>
        </w:tc>
        <w:tc>
          <w:tcPr>
            <w:tcW w:type="dxa" w:w="39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Required behavior</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High confidence</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Verified structured data or strong document match</w:t>
            </w:r>
          </w:p>
        </w:tc>
        <w:tc>
          <w:tcPr>
            <w:tcW w:type="dxa" w:w="39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Auto-prepare; user sees result in normal review</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Medium confidence</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Likely classification with one material ambiguity</w:t>
            </w:r>
          </w:p>
        </w:tc>
        <w:tc>
          <w:tcPr>
            <w:tcW w:type="dxa" w:w="39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Prepare provisionally; request focused confirmation</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Low confidence</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Missing evidence, conflicting values, or unsupported tax interpretation</w:t>
            </w:r>
          </w:p>
        </w:tc>
        <w:tc>
          <w:tcPr>
            <w:tcW w:type="dxa" w:w="39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Block downstream computation or filing; escalate</w:t>
            </w:r>
          </w:p>
        </w:tc>
      </w:tr>
      <w:tr>
        <w:trPr>
          <w:cantSplit/>
        </w:trPr>
        <w:tc>
          <w:tcPr>
            <w:tcW w:type="dxa" w:w="18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Material action</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Filing, payment, profile change, invoice cancellation, or destructive correction</w:t>
            </w:r>
          </w:p>
        </w:tc>
        <w:tc>
          <w:tcPr>
            <w:tcW w:type="dxa" w:w="39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Always require explicit approval regardless of confidence</w:t>
            </w:r>
          </w:p>
        </w:tc>
      </w:tr>
    </w:tbl>
    <w:p>
      <w:pPr>
        <w:spacing w:after="0"/>
      </w:pPr>
    </w:p>
    <w:p>
      <w:pPr>
        <w:pStyle w:val="Heading1"/>
      </w:pPr>
      <w:r>
        <w:t>5. End-to-End Taxpayer Journeys</w:t>
      </w:r>
    </w:p>
    <w:p>
      <w:pPr>
        <w:pStyle w:val="Heading2"/>
      </w:pPr>
      <w:r>
        <w:t>5.1 Onboarding and Registration Readiness</w:t>
      </w:r>
    </w:p>
    <w:p>
      <w:pPr>
        <w:numPr>
          <w:ilvl w:val="0"/>
          <w:numId w:val="81"/>
        </w:numPr>
      </w:pPr>
      <w:r>
        <w:rPr>
          <w:rFonts w:ascii="Calibri" w:hAnsi="Calibri"/>
          <w:b w:val="0"/>
          <w:i w:val="0"/>
          <w:color w:val="0B2545"/>
          <w:sz w:val="22"/>
        </w:rPr>
        <w:t>Collect the taxpayer's income sources, registration status, business or professional activity, expected sales, employment context, and available documents.</w:t>
      </w:r>
    </w:p>
    <w:p>
      <w:pPr>
        <w:numPr>
          <w:ilvl w:val="0"/>
          <w:numId w:val="81"/>
        </w:numPr>
      </w:pPr>
      <w:r>
        <w:rPr>
          <w:rFonts w:ascii="Calibri" w:hAnsi="Calibri"/>
          <w:b w:val="0"/>
          <w:i w:val="0"/>
          <w:color w:val="0B2545"/>
          <w:sz w:val="22"/>
        </w:rPr>
        <w:t>Build a provisional tax profile and show the assumptions that materially affect registration and filing.</w:t>
      </w:r>
    </w:p>
    <w:p>
      <w:pPr>
        <w:numPr>
          <w:ilvl w:val="0"/>
          <w:numId w:val="81"/>
        </w:numPr>
      </w:pPr>
      <w:r>
        <w:rPr>
          <w:rFonts w:ascii="Calibri" w:hAnsi="Calibri"/>
          <w:b w:val="0"/>
          <w:i w:val="0"/>
          <w:color w:val="0B2545"/>
          <w:sz w:val="22"/>
        </w:rPr>
        <w:t>Generate a registration-readiness checklist and identify whether the user should complete or update registration through the current official BIR channel.</w:t>
      </w:r>
    </w:p>
    <w:p>
      <w:pPr>
        <w:numPr>
          <w:ilvl w:val="0"/>
          <w:numId w:val="81"/>
        </w:numPr>
      </w:pPr>
      <w:r>
        <w:rPr>
          <w:rFonts w:ascii="Calibri" w:hAnsi="Calibri"/>
          <w:b w:val="0"/>
          <w:i w:val="0"/>
          <w:color w:val="0B2545"/>
          <w:sz w:val="22"/>
        </w:rPr>
        <w:t>Prepare the information needed for the relevant registration form without submitting it.</w:t>
      </w:r>
    </w:p>
    <w:p>
      <w:pPr>
        <w:numPr>
          <w:ilvl w:val="0"/>
          <w:numId w:val="81"/>
        </w:numPr>
      </w:pPr>
      <w:r>
        <w:rPr>
          <w:rFonts w:ascii="Calibri" w:hAnsi="Calibri"/>
          <w:b w:val="0"/>
          <w:i w:val="0"/>
          <w:color w:val="0B2545"/>
          <w:sz w:val="22"/>
        </w:rPr>
        <w:t>Ask the user to confirm the profile and any tax-treatment election before marking onboarding complete.</w:t>
      </w:r>
    </w:p>
    <w:p>
      <w:pPr>
        <w:numPr>
          <w:ilvl w:val="0"/>
          <w:numId w:val="81"/>
        </w:numPr>
      </w:pPr>
      <w:r>
        <w:rPr>
          <w:rFonts w:ascii="Calibri" w:hAnsi="Calibri"/>
          <w:b w:val="0"/>
          <w:i w:val="0"/>
          <w:color w:val="0B2545"/>
          <w:sz w:val="22"/>
        </w:rPr>
        <w:t>Store registration evidence and activate the personalized compliance calendar.</w:t>
      </w:r>
    </w:p>
    <w:p>
      <w:pPr>
        <w:pStyle w:val="Heading2"/>
      </w:pPr>
      <w:r>
        <w:t>5.2 Continuous Recordkeeping</w:t>
      </w:r>
    </w:p>
    <w:p>
      <w:pPr>
        <w:numPr>
          <w:ilvl w:val="0"/>
          <w:numId w:val="82"/>
        </w:numPr>
      </w:pPr>
      <w:r>
        <w:rPr>
          <w:rFonts w:ascii="Calibri" w:hAnsi="Calibri"/>
          <w:b w:val="0"/>
          <w:i w:val="0"/>
          <w:color w:val="0B2545"/>
          <w:sz w:val="22"/>
        </w:rPr>
        <w:t>Accept manual transactions, CSV imports, invoices, receipts, platform statements, and withholding certificates.</w:t>
      </w:r>
    </w:p>
    <w:p>
      <w:pPr>
        <w:numPr>
          <w:ilvl w:val="0"/>
          <w:numId w:val="82"/>
        </w:numPr>
      </w:pPr>
      <w:r>
        <w:rPr>
          <w:rFonts w:ascii="Calibri" w:hAnsi="Calibri"/>
          <w:b w:val="0"/>
          <w:i w:val="0"/>
          <w:color w:val="0B2545"/>
          <w:sz w:val="22"/>
        </w:rPr>
        <w:t>Normalize dates, amounts, counterparties, currency, source account, and evidence links.</w:t>
      </w:r>
    </w:p>
    <w:p>
      <w:pPr>
        <w:numPr>
          <w:ilvl w:val="0"/>
          <w:numId w:val="82"/>
        </w:numPr>
      </w:pPr>
      <w:r>
        <w:rPr>
          <w:rFonts w:ascii="Calibri" w:hAnsi="Calibri"/>
          <w:b w:val="0"/>
          <w:i w:val="0"/>
          <w:color w:val="0B2545"/>
          <w:sz w:val="22"/>
        </w:rPr>
        <w:t>Detect duplicates and request confirmation for conflicting records.</w:t>
      </w:r>
    </w:p>
    <w:p>
      <w:pPr>
        <w:numPr>
          <w:ilvl w:val="0"/>
          <w:numId w:val="82"/>
        </w:numPr>
      </w:pPr>
      <w:r>
        <w:rPr>
          <w:rFonts w:ascii="Calibri" w:hAnsi="Calibri"/>
          <w:b w:val="0"/>
          <w:i w:val="0"/>
          <w:color w:val="0B2545"/>
          <w:sz w:val="22"/>
        </w:rPr>
        <w:t>Classify income, expense, tax credit, owner movement, or non-tax record with a confidence score.</w:t>
      </w:r>
    </w:p>
    <w:p>
      <w:pPr>
        <w:numPr>
          <w:ilvl w:val="0"/>
          <w:numId w:val="82"/>
        </w:numPr>
      </w:pPr>
      <w:r>
        <w:rPr>
          <w:rFonts w:ascii="Calibri" w:hAnsi="Calibri"/>
          <w:b w:val="0"/>
          <w:i w:val="0"/>
          <w:color w:val="0B2545"/>
          <w:sz w:val="22"/>
        </w:rPr>
        <w:t>Reconcile records against totals and update estimated tax, threshold monitoring, and filing readiness.</w:t>
      </w:r>
    </w:p>
    <w:p>
      <w:pPr>
        <w:numPr>
          <w:ilvl w:val="0"/>
          <w:numId w:val="82"/>
        </w:numPr>
      </w:pPr>
      <w:r>
        <w:rPr>
          <w:rFonts w:ascii="Calibri" w:hAnsi="Calibri"/>
          <w:b w:val="0"/>
          <w:i w:val="0"/>
          <w:color w:val="0B2545"/>
          <w:sz w:val="22"/>
        </w:rPr>
        <w:t>Surface only unresolved items that can materially change compliance or computation.</w:t>
      </w:r>
    </w:p>
    <w:p>
      <w:pPr>
        <w:pStyle w:val="Heading2"/>
      </w:pPr>
      <w:r>
        <w:t>5.3 Quarterly Filing Preparation</w:t>
      </w:r>
    </w:p>
    <w:p>
      <w:pPr>
        <w:numPr>
          <w:ilvl w:val="0"/>
          <w:numId w:val="83"/>
        </w:numPr>
      </w:pPr>
      <w:r>
        <w:rPr>
          <w:rFonts w:ascii="Calibri" w:hAnsi="Calibri"/>
          <w:b w:val="0"/>
          <w:i w:val="0"/>
          <w:color w:val="0B2545"/>
          <w:sz w:val="22"/>
        </w:rPr>
        <w:t>Open the filing period automatically and list expected records and certificates.</w:t>
      </w:r>
    </w:p>
    <w:p>
      <w:pPr>
        <w:numPr>
          <w:ilvl w:val="0"/>
          <w:numId w:val="83"/>
        </w:numPr>
      </w:pPr>
      <w:r>
        <w:rPr>
          <w:rFonts w:ascii="Calibri" w:hAnsi="Calibri"/>
          <w:b w:val="0"/>
          <w:i w:val="0"/>
          <w:color w:val="0B2545"/>
          <w:sz w:val="22"/>
        </w:rPr>
        <w:t>Reconcile period totals and show missing or unusual items.</w:t>
      </w:r>
    </w:p>
    <w:p>
      <w:pPr>
        <w:numPr>
          <w:ilvl w:val="0"/>
          <w:numId w:val="83"/>
        </w:numPr>
      </w:pPr>
      <w:r>
        <w:rPr>
          <w:rFonts w:ascii="Calibri" w:hAnsi="Calibri"/>
          <w:b w:val="0"/>
          <w:i w:val="0"/>
          <w:color w:val="0B2545"/>
          <w:sz w:val="22"/>
        </w:rPr>
        <w:t>Run the versioned deterministic computation and generate an explainable tax summary.</w:t>
      </w:r>
    </w:p>
    <w:p>
      <w:pPr>
        <w:numPr>
          <w:ilvl w:val="0"/>
          <w:numId w:val="83"/>
        </w:numPr>
      </w:pPr>
      <w:r>
        <w:rPr>
          <w:rFonts w:ascii="Calibri" w:hAnsi="Calibri"/>
          <w:b w:val="0"/>
          <w:i w:val="0"/>
          <w:color w:val="0B2545"/>
          <w:sz w:val="22"/>
        </w:rPr>
        <w:t>Map verified values into the applicable return draft and run cross-field validation.</w:t>
      </w:r>
    </w:p>
    <w:p>
      <w:pPr>
        <w:numPr>
          <w:ilvl w:val="0"/>
          <w:numId w:val="83"/>
        </w:numPr>
      </w:pPr>
      <w:r>
        <w:rPr>
          <w:rFonts w:ascii="Calibri" w:hAnsi="Calibri"/>
          <w:b w:val="0"/>
          <w:i w:val="0"/>
          <w:color w:val="0B2545"/>
          <w:sz w:val="22"/>
        </w:rPr>
        <w:t>Present a review screen containing period, tax type, amounts, credits, assumptions, source rules, and unresolved warnings.</w:t>
      </w:r>
    </w:p>
    <w:p>
      <w:pPr>
        <w:numPr>
          <w:ilvl w:val="0"/>
          <w:numId w:val="83"/>
        </w:numPr>
      </w:pPr>
      <w:r>
        <w:rPr>
          <w:rFonts w:ascii="Calibri" w:hAnsi="Calibri"/>
          <w:b w:val="0"/>
          <w:i w:val="0"/>
          <w:color w:val="0B2545"/>
          <w:sz w:val="22"/>
        </w:rPr>
        <w:t>After approval, export or guide the user to the official filing channel and capture the acknowledgement.</w:t>
      </w:r>
    </w:p>
    <w:p>
      <w:pPr>
        <w:numPr>
          <w:ilvl w:val="0"/>
          <w:numId w:val="83"/>
        </w:numPr>
      </w:pPr>
      <w:r>
        <w:rPr>
          <w:rFonts w:ascii="Calibri" w:hAnsi="Calibri"/>
          <w:b w:val="0"/>
          <w:i w:val="0"/>
          <w:color w:val="0B2545"/>
          <w:sz w:val="22"/>
        </w:rPr>
        <w:t>If tax is due, create a separate payment task. Filing approval never implies payment approval.</w:t>
      </w:r>
    </w:p>
    <w:p>
      <w:pPr>
        <w:pStyle w:val="Heading2"/>
      </w:pPr>
      <w:r>
        <w:t>5.4 Annual Filing Preparation</w:t>
      </w:r>
    </w:p>
    <w:p>
      <w:pPr>
        <w:numPr>
          <w:ilvl w:val="0"/>
          <w:numId w:val="84"/>
        </w:numPr>
      </w:pPr>
      <w:r>
        <w:rPr>
          <w:rFonts w:ascii="Calibri" w:hAnsi="Calibri"/>
          <w:b w:val="0"/>
          <w:i w:val="0"/>
          <w:color w:val="0B2545"/>
          <w:sz w:val="22"/>
        </w:rPr>
        <w:t>Lock a review copy of all quarterly computations and reconcile full-year totals.</w:t>
      </w:r>
    </w:p>
    <w:p>
      <w:pPr>
        <w:numPr>
          <w:ilvl w:val="0"/>
          <w:numId w:val="84"/>
        </w:numPr>
      </w:pPr>
      <w:r>
        <w:rPr>
          <w:rFonts w:ascii="Calibri" w:hAnsi="Calibri"/>
          <w:b w:val="0"/>
          <w:i w:val="0"/>
          <w:color w:val="0B2545"/>
          <w:sz w:val="22"/>
        </w:rPr>
        <w:t>Collect final-quarter withholding evidence, prior payments, carry-over credits, and other required inputs.</w:t>
      </w:r>
    </w:p>
    <w:p>
      <w:pPr>
        <w:numPr>
          <w:ilvl w:val="0"/>
          <w:numId w:val="84"/>
        </w:numPr>
      </w:pPr>
      <w:r>
        <w:rPr>
          <w:rFonts w:ascii="Calibri" w:hAnsi="Calibri"/>
          <w:b w:val="0"/>
          <w:i w:val="0"/>
          <w:color w:val="0B2545"/>
          <w:sz w:val="22"/>
        </w:rPr>
        <w:t>Compare the selected annual tax treatment against the taxpayer profile and rule version.</w:t>
      </w:r>
    </w:p>
    <w:p>
      <w:pPr>
        <w:numPr>
          <w:ilvl w:val="0"/>
          <w:numId w:val="84"/>
        </w:numPr>
      </w:pPr>
      <w:r>
        <w:rPr>
          <w:rFonts w:ascii="Calibri" w:hAnsi="Calibri"/>
          <w:b w:val="0"/>
          <w:i w:val="0"/>
          <w:color w:val="0B2545"/>
          <w:sz w:val="22"/>
        </w:rPr>
        <w:t>Prepare the applicable annual return, supporting schedules, and variance explanation.</w:t>
      </w:r>
    </w:p>
    <w:p>
      <w:pPr>
        <w:numPr>
          <w:ilvl w:val="0"/>
          <w:numId w:val="84"/>
        </w:numPr>
      </w:pPr>
      <w:r>
        <w:rPr>
          <w:rFonts w:ascii="Calibri" w:hAnsi="Calibri"/>
          <w:b w:val="0"/>
          <w:i w:val="0"/>
          <w:color w:val="0B2545"/>
          <w:sz w:val="22"/>
        </w:rPr>
        <w:t>Require the taxpayer to review identity, registration, income, deductions or rate option, credits, and tax due.</w:t>
      </w:r>
    </w:p>
    <w:p>
      <w:pPr>
        <w:numPr>
          <w:ilvl w:val="0"/>
          <w:numId w:val="84"/>
        </w:numPr>
      </w:pPr>
      <w:r>
        <w:rPr>
          <w:rFonts w:ascii="Calibri" w:hAnsi="Calibri"/>
          <w:b w:val="0"/>
          <w:i w:val="0"/>
          <w:color w:val="0B2545"/>
          <w:sz w:val="22"/>
        </w:rPr>
        <w:t>Capture filing acknowledgement and payment proof before closing the year.</w:t>
      </w:r>
    </w:p>
    <w:p>
      <w:pPr>
        <w:pStyle w:val="Heading2"/>
      </w:pPr>
      <w:r>
        <w:t>5.5 Exception and Correction Journey</w:t>
      </w:r>
    </w:p>
    <w:p>
      <w:pPr>
        <w:spacing w:before="0" w:after="120" w:line="264" w:lineRule="auto"/>
      </w:pPr>
      <w:r>
        <w:rPr>
          <w:rFonts w:ascii="Calibri" w:hAnsi="Calibri"/>
          <w:b w:val="0"/>
          <w:i w:val="0"/>
          <w:color w:val="0B2545"/>
          <w:sz w:val="22"/>
        </w:rPr>
        <w:t>When the system finds a late record, duplicate filing, threshold breach, inconsistent certificate, invalid invoice sequence, changed registration status, or rule-version mismatch, it creates an exception instead of silently rewriting history. The taxpayer sees the impact, affected periods, recommended resolution, required evidence, and whether professional review is recommended.</w:t>
      </w:r>
    </w:p>
    <w:p>
      <w:pPr>
        <w:pStyle w:val="Heading1"/>
      </w:pPr>
      <w:r>
        <w:t>6. Functional Requirements</w:t>
      </w:r>
    </w:p>
    <w:p>
      <w:pPr>
        <w:spacing w:before="0" w:after="120" w:line="264" w:lineRule="auto"/>
      </w:pPr>
      <w:r>
        <w:rPr>
          <w:rFonts w:ascii="Calibri" w:hAnsi="Calibri"/>
          <w:b w:val="0"/>
          <w:i w:val="0"/>
          <w:color w:val="0B2545"/>
          <w:sz w:val="22"/>
        </w:rPr>
        <w:t>Priority definitions: P0 is required for the MVP; P1 follows after the first controlled pilot; P2 depends on broader tax coverage or external integrations.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50"/>
        <w:gridCol w:w="1050"/>
        <w:gridCol w:w="7260"/>
      </w:tblGrid>
      <w:tr>
        <w:trPr>
          <w:cantSplit/>
          <w:tblHeader w:val="true"/>
        </w:trPr>
        <w:tc>
          <w:tcPr>
            <w:tcW w:type="dxa" w:w="10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ID</w:t>
            </w:r>
          </w:p>
        </w:tc>
        <w:tc>
          <w:tcPr>
            <w:tcW w:type="dxa" w:w="10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Priority</w:t>
            </w:r>
          </w:p>
        </w:tc>
        <w:tc>
          <w:tcPr>
            <w:tcW w:type="dxa" w:w="72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Requirement</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PRF-01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Create a taxpayer profile from guided questions and uploaded registration evidence.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PRF-02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Record income types, employment context, registration status, tax regime, tax types, RDO, and effective dates.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PRF-03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Show every material assumption and require confirmation before profile activation.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PRF-04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Version profile changes and recompute affected future obligations without erasing prior state.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PRF-05</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Generate registration or update checklists mapped to the current official channel and form.</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REC-01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Create, edit, import, archive, and restore income and expense records with evidence links.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REC-02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Support CSV import with column mapping, preview, duplicate detection, and rollback.</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REC-03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Classify transactions with confidence and a user-confirmable explanation.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REC-04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Support PHP and foreign-currency source amounts while preserving the conversion input and basis.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REC-05</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Track withholding credits and link them to uploaded certificates and filing periods.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REC-06</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Reconcile platform or bank statement totals against recorded transactions.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DOC-01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Upload and preserve original invoices, receipts, certificates, forms, and acknowledgements.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DOC-02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Extract document type, issuer, date, amount, identifiers, and candidate tax treatment.</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DOC-03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Show extracted values beside the original and require review for material low-confidence fields.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DOC-04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Maintain immutable document versions, hashes, access history, and retention state.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INV-01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Create an invoice record using configured taxpayer and customer data.</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INV-02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Maintain a controlled invoice sequence and prevent silent reuse or deletion.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INV-03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Generate a printable invoice artifact only after current required fields pass validation.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INV-04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Track issued, paid, cancelled, and replaced invoice states with a complete history.</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CAL-01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Generate personalized obligations and deadlines from the active profile and versioned rules.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CAL-02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Provide configurable reminders and a daily next-best-action queue.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CAL-03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Show readiness, blockers, days remaining, and estimated amount for each obligation.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CAL-04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Refresh the official calendar and flag changed deadlines for rule-owner review.</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CMP-01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Calculate quarterly and annual estimates using decimal arithmetic and deterministic rules.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CMP-02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Persist inputs, outputs, rounding, rule identifiers, effective dates, and computation trace.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CMP-03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Compare supported tax scenarios without making an election for the taxpayer.</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CMP-04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Prevent final computation when required inputs or rule coverage are unresolved.</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CMP-05</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Estimate surcharge, interest, and compromise impacts using current validated rules.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Create a filing workspace tied to one taxpayer, tax type, form version, and period.</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Map verified records and computations into a reviewable return draft.</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Run identity, arithmetic, cross-period, required-field, and evidence validations.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Generate a plain-language review summary and differences from the previous period.</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FIL-05</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Require approval before export, hand-off, or submission.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FIL-06</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Capture official acknowledgement identifiers and bind them to the return version.</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PAY-01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Create a payment task only from an approved filing or independently approved liability.</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PAY-02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Require the user to confirm taxpayer, tax type, period, amount, and payment channel.</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PAY-03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Store payment references and uploaded proof; never mark paid from navigation alone.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AST-01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Answer questions using the active taxpayer context without exposing another taxpayer's data.</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AST-02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Cite the official source and effective date for material tax guidance.</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AST-03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Distinguish fact, rule, assumption, estimate, and recommendation in user-facing answers.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AST-04</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Convert conversations into proposed tasks but require normal policy and approvals.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ADM-01</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Provide a controlled rule-management workflow with reviewer, source, effective date, and tests.</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ADM-02</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P0</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Record all agent, user, administrator, and external-system actions in an immutable audit trail.</w:t>
            </w:r>
          </w:p>
        </w:tc>
      </w:tr>
      <w:tr>
        <w:trPr>
          <w:cantSplit/>
        </w:trPr>
        <w:tc>
          <w:tcPr>
            <w:tcW w:type="dxa" w:w="10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ADM-03</w:t>
            </w:r>
          </w:p>
        </w:tc>
        <w:tc>
          <w:tcPr>
            <w:tcW w:type="dxa" w:w="10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P1</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Provide exception queues for tax-rule, document, data-quality, and integration failures.</w:t>
            </w:r>
          </w:p>
        </w:tc>
      </w:tr>
    </w:tbl>
    <w:p>
      <w:pPr>
        <w:spacing w:after="0"/>
      </w:pPr>
    </w:p>
    <w:p>
      <w:pPr>
        <w:pStyle w:val="Heading1"/>
      </w:pPr>
      <w:r>
        <w:t>7. Filing and Payment Control Design</w:t>
      </w:r>
    </w:p>
    <w:p>
      <w:pPr>
        <w:pStyle w:val="Heading2"/>
      </w:pPr>
      <w:r>
        <w:t>7.1 Mandatory Approval Gates</w:t>
      </w:r>
    </w:p>
    <w:p>
      <w:pPr>
        <w:numPr>
          <w:ilvl w:val="0"/>
          <w:numId w:val="80"/>
        </w:numPr>
      </w:pPr>
      <w:r>
        <w:rPr>
          <w:rFonts w:ascii="Calibri" w:hAnsi="Calibri"/>
          <w:b w:val="0"/>
          <w:i w:val="0"/>
          <w:color w:val="0B2545"/>
          <w:sz w:val="22"/>
        </w:rPr>
        <w:t>Confirming or changing taxpayer identity, registration, tax regime, or a material tax election.</w:t>
      </w:r>
    </w:p>
    <w:p>
      <w:pPr>
        <w:numPr>
          <w:ilvl w:val="0"/>
          <w:numId w:val="80"/>
        </w:numPr>
      </w:pPr>
      <w:r>
        <w:rPr>
          <w:rFonts w:ascii="Calibri" w:hAnsi="Calibri"/>
          <w:b w:val="0"/>
          <w:i w:val="0"/>
          <w:color w:val="0B2545"/>
          <w:sz w:val="22"/>
        </w:rPr>
        <w:t>Issuing, cancelling, replacing, or re-numbering an invoice.</w:t>
      </w:r>
    </w:p>
    <w:p>
      <w:pPr>
        <w:numPr>
          <w:ilvl w:val="0"/>
          <w:numId w:val="80"/>
        </w:numPr>
      </w:pPr>
      <w:r>
        <w:rPr>
          <w:rFonts w:ascii="Calibri" w:hAnsi="Calibri"/>
          <w:b w:val="0"/>
          <w:i w:val="0"/>
          <w:color w:val="0B2545"/>
          <w:sz w:val="22"/>
        </w:rPr>
        <w:t>Finalizing a return draft for export or submission.</w:t>
      </w:r>
    </w:p>
    <w:p>
      <w:pPr>
        <w:numPr>
          <w:ilvl w:val="0"/>
          <w:numId w:val="80"/>
        </w:numPr>
      </w:pPr>
      <w:r>
        <w:rPr>
          <w:rFonts w:ascii="Calibri" w:hAnsi="Calibri"/>
          <w:b w:val="0"/>
          <w:i w:val="0"/>
          <w:color w:val="0B2545"/>
          <w:sz w:val="22"/>
        </w:rPr>
        <w:t>Initiating a payment or redirecting to a payment provider with prefilled liability details.</w:t>
      </w:r>
    </w:p>
    <w:p>
      <w:pPr>
        <w:numPr>
          <w:ilvl w:val="0"/>
          <w:numId w:val="80"/>
        </w:numPr>
      </w:pPr>
      <w:r>
        <w:rPr>
          <w:rFonts w:ascii="Calibri" w:hAnsi="Calibri"/>
          <w:b w:val="0"/>
          <w:i w:val="0"/>
          <w:color w:val="0B2545"/>
          <w:sz w:val="22"/>
        </w:rPr>
        <w:t>Amending, voiding, or deleting a previously filed or verified record.</w:t>
      </w:r>
    </w:p>
    <w:p>
      <w:pPr>
        <w:numPr>
          <w:ilvl w:val="0"/>
          <w:numId w:val="80"/>
        </w:numPr>
      </w:pPr>
      <w:r>
        <w:rPr>
          <w:rFonts w:ascii="Calibri" w:hAnsi="Calibri"/>
          <w:b w:val="0"/>
          <w:i w:val="0"/>
          <w:color w:val="0B2545"/>
          <w:sz w:val="22"/>
        </w:rPr>
        <w:t>Sharing tax data with an accountant, partner, government system, or other third party.</w:t>
      </w:r>
    </w:p>
    <w:p>
      <w:pPr>
        <w:pStyle w:val="Heading2"/>
      </w:pPr>
      <w:r>
        <w:t>7.2 Review Screen Requirements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50"/>
        <w:gridCol w:w="7310"/>
      </w:tblGrid>
      <w:tr>
        <w:trPr>
          <w:cantSplit/>
          <w:tblHeader w:val="true"/>
        </w:trPr>
        <w:tc>
          <w:tcPr>
            <w:tcW w:type="dxa" w:w="20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Review block</w:t>
            </w:r>
          </w:p>
        </w:tc>
        <w:tc>
          <w:tcPr>
            <w:tcW w:type="dxa" w:w="73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Required content</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Identity</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Taxpayer name, TIN or masked identifier, branch, RDO, and profile version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Obligation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Tax type, form/version, covered period, due date, and filing channel</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Computation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Income, deductions or rate basis, credits, prior payments, tax due, and rounding</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Evidence</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Linked records, certificates, invoices, acknowledgements, and missing items</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Authority</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Rule IDs, official source, publication or effective date, and last validation date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Impact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What will happen after approval and how to recover from failure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Consent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 specific approval statement bound to the exact payload and expiration window</w:t>
            </w:r>
          </w:p>
        </w:tc>
      </w:tr>
    </w:tbl>
    <w:p>
      <w:pPr>
        <w:spacing w:after="0"/>
      </w:pPr>
    </w:p>
    <w:p>
      <w:pPr>
        <w:pStyle w:val="Heading2"/>
      </w:pPr>
      <w:r>
        <w:t>7.3 Idempotency and Recovery</w:t>
      </w:r>
    </w:p>
    <w:p>
      <w:pPr>
        <w:spacing w:before="0" w:after="120" w:line="264" w:lineRule="auto"/>
      </w:pPr>
      <w:r>
        <w:rPr>
          <w:rFonts w:ascii="Calibri" w:hAnsi="Calibri"/>
          <w:b w:val="0"/>
          <w:i w:val="0"/>
          <w:color w:val="0B2545"/>
          <w:sz w:val="22"/>
        </w:rPr>
        <w:t>Every external action must use an idempotency key derived from taxpayer, obligation, return version, action type, and approval. A retry must first check the previous attempt. Unknown outcomes remain pending and require reconciliation; they must never be reported as successful merely because a request was sent.</w:t>
      </w:r>
    </w:p>
    <w:p>
      <w:pPr>
        <w:pStyle w:val="Heading1"/>
      </w:pPr>
      <w:r>
        <w:t>8. System Architecture</w:t>
      </w:r>
    </w:p>
    <w:p>
      <w:pPr>
        <w:pStyle w:val="Heading2"/>
      </w:pPr>
      <w:r>
        <w:t>8.1 Logical Architecture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spacing w:before="20" w:after="20" w:line="240" w:lineRule="auto"/>
            </w:pPr>
            <w:r>
              <w:rPr>
                <w:rFonts w:ascii="Calibri" w:hAnsi="Calibri"/>
                <w:b/>
                <w:i w:val="0"/>
                <w:color w:val="0B2545"/>
                <w:sz w:val="18"/>
              </w:rPr>
              <w:t>Layer</w:t>
            </w:r>
          </w:p>
        </w:tc>
        <w:tc>
          <w:tcPr>
            <w:tcW w:type="dxa" w:w="7460"/>
            <w:tcMar>
              <w:top w:w="80" w:type="dxa"/>
              <w:start w:w="120" w:type="dxa"/>
              <w:bottom w:w="80" w:type="dxa"/>
              <w:end w:w="120" w:type="dxa"/>
            </w:tcMar>
            <w:vAlign w:val="center"/>
            <w:shd w:fill="E8EEF5"/>
          </w:tcPr>
          <w:p>
            <w:pPr>
              <w:spacing w:before="20" w:after="20" w:line="240" w:lineRule="auto"/>
            </w:pPr>
            <w:r>
              <w:rPr>
                <w:rFonts w:ascii="Calibri" w:hAnsi="Calibri"/>
                <w:b/>
                <w:i w:val="0"/>
                <w:color w:val="0B2545"/>
                <w:sz w:val="18"/>
              </w:rPr>
              <w:t>Components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Experience</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Web/mobile-responsive app, conversational assistant, dashboard, task inbox, document and filing workspaces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Identity and consent</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Authentication, MFA, session risk, consent ledger, delegates, role and tenant boundaries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API and policy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API gateway, authorization, rate limiting, schema validation, idempotency, approval verification</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Agent orchestration</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Orchestrator, specialized agents, task state machine, context builder, tool registry, assurance checks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Deterministic domain</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Tax rules engine, computation service, obligation scheduler, form mapper, validators, invoice sequence service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Data and documents</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Relational system of record, encrypted object storage, immutable audit events, search and retrieval index</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Integration</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Official-channel hand-offs, approved payment providers, notifications, import adapters, future authorized government APIs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Operations</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Rule publishing, source monitoring, human review queues, observability, incident response, backup and recovery</w:t>
            </w:r>
          </w:p>
        </w:tc>
      </w:tr>
    </w:tbl>
    <w:p>
      <w:pPr>
        <w:spacing w:after="0"/>
      </w:pP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rPr>
          <w:cantSplit/>
        </w:trPr>
        <w:tc>
          <w:tcPr>
            <w:tcW w:type="dxa" w:w="9360"/>
            <w:tcMar>
              <w:top w:w="80" w:type="dxa"/>
              <w:start w:w="120" w:type="dxa"/>
              <w:bottom w:w="80" w:type="dxa"/>
              <w:end w:w="120" w:type="dxa"/>
            </w:tcMar>
            <w:vAlign w:val="center"/>
            <w:shd w:fill="FFF4D6"/>
          </w:tcPr>
          <w:p>
            <w:pPr>
              <w:spacing w:before="40" w:after="40" w:line="264" w:lineRule="auto"/>
            </w:pPr>
            <w:r>
              <w:rPr>
                <w:rFonts w:ascii="Calibri" w:hAnsi="Calibri"/>
                <w:b/>
                <w:i w:val="0"/>
                <w:color w:val="1F4D78"/>
                <w:sz w:val="22"/>
              </w:rPr>
              <w:t xml:space="preserve">Architecture rule: </w:t>
            </w:r>
            <w:r>
              <w:rPr>
                <w:rFonts w:ascii="Calibri" w:hAnsi="Calibri"/>
                <w:b w:val="0"/>
                <w:i w:val="0"/>
                <w:color w:val="0B2545"/>
                <w:sz w:val="22"/>
              </w:rPr>
              <w:t>The language model may propose or explain a tax result, but it may not become the system of record and may not perform the authoritative tax calculation. All material amounts must come from the deterministic computation service.</w:t>
            </w:r>
          </w:p>
        </w:tc>
      </w:tr>
    </w:tbl>
    <w:p>
      <w:pPr>
        <w:spacing w:after="0"/>
      </w:pPr>
    </w:p>
    <w:p>
      <w:pPr>
        <w:pStyle w:val="Heading2"/>
      </w:pPr>
      <w:r>
        <w:t>8.2 Agent Task Lifecycle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4050"/>
        <w:gridCol w:w="3610"/>
      </w:tblGrid>
      <w:tr>
        <w:trPr>
          <w:cantSplit/>
          <w:tblHeader w:val="true"/>
        </w:trPr>
        <w:tc>
          <w:tcPr>
            <w:tcW w:type="dxa" w:w="17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State</w:t>
            </w:r>
          </w:p>
        </w:tc>
        <w:tc>
          <w:tcPr>
            <w:tcW w:type="dxa" w:w="40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Meaning</w:t>
            </w:r>
          </w:p>
        </w:tc>
        <w:tc>
          <w:tcPr>
            <w:tcW w:type="dxa" w:w="36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Required evidence</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Proposed</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An agent identifies useful work</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Reason, scope, risk, expected output</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Gathering</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The agent collects permitted inputs</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Source and access records</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Blocked</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Required evidence, rule, consent, or integration is unavailable</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Actionable blocker</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Ready for review</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Preparation and validations are complete</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Immutable review snapshot</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Approved</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The user approves the exact proposed action</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Approval artifact and expiry</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Executing</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The approved tool action is in progress</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Idempotency key and attempt</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Completed</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Outcome is verified</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Acknowledgement or proof</w:t>
            </w:r>
          </w:p>
        </w:tc>
      </w:tr>
      <w:tr>
        <w:trPr>
          <w:cantSplit/>
        </w:trPr>
        <w:tc>
          <w:tcPr>
            <w:tcW w:type="dxa" w:w="17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Exception</w:t>
            </w:r>
          </w:p>
        </w:tc>
        <w:tc>
          <w:tcPr>
            <w:tcW w:type="dxa" w:w="405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Outcome is unknown, contradictory, or failed</w:t>
            </w:r>
          </w:p>
        </w:tc>
        <w:tc>
          <w:tcPr>
            <w:tcW w:type="dxa" w:w="36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Recovery owner and next step</w:t>
            </w:r>
          </w:p>
        </w:tc>
      </w:tr>
    </w:tbl>
    <w:p>
      <w:pPr>
        <w:spacing w:after="0"/>
      </w:pPr>
    </w:p>
    <w:p>
      <w:pPr>
        <w:pStyle w:val="Heading2"/>
      </w:pPr>
      <w:r>
        <w:t>8.3 Core Services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7260"/>
      </w:tblGrid>
      <w:tr>
        <w:trPr>
          <w:cantSplit/>
          <w:tblHeader w:val="true"/>
        </w:trPr>
        <w:tc>
          <w:tcPr>
            <w:tcW w:type="dxa" w:w="21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Service</w:t>
            </w:r>
          </w:p>
        </w:tc>
        <w:tc>
          <w:tcPr>
            <w:tcW w:type="dxa" w:w="72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Responsibility</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Profile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Effective-dated taxpayer, registration, tax-regime, and delegation state</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Rules registry</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Signed, versioned rules with authority, effective dates, tests, and approval history</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Computation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Pure deterministic functions, decimal arithmetic, traceable inputs and outputs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Obligation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Generates and updates period-specific compliance obligations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Ledger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Normalized tax records, classifications, evidence, reconciliation, and locks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Document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Encrypted originals, extraction, review overlays, hashes, and retention</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Invoice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Invoice identity, sequence, issue/cancel state, customer data, and artifacts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Filing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Form-version mapping, return drafts, validations, exports, acknowledgements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Payment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Approved liabilities, payment intents, provider hand-offs, proof, reconciliation</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Agent runtime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Plans, tasks, tools, context, confidence, policy enforcement, and audit events</w:t>
            </w:r>
          </w:p>
        </w:tc>
      </w:tr>
      <w:tr>
        <w:trPr>
          <w:cantSplit/>
        </w:trPr>
        <w:tc>
          <w:tcPr>
            <w:tcW w:type="dxa" w:w="21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Notification service</w:t>
            </w:r>
          </w:p>
        </w:tc>
        <w:tc>
          <w:tcPr>
            <w:tcW w:type="dxa" w:w="72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Deadline, exception, approval, and outcome notifications with preferences</w:t>
            </w:r>
          </w:p>
        </w:tc>
      </w:tr>
    </w:tbl>
    <w:p>
      <w:pPr>
        <w:spacing w:after="0"/>
      </w:pPr>
    </w:p>
    <w:p>
      <w:pPr>
        <w:pStyle w:val="Heading2"/>
      </w:pPr>
      <w:r>
        <w:t>8.4 Integration Boundaries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50"/>
        <w:gridCol w:w="1800"/>
        <w:gridCol w:w="3520"/>
        <w:gridCol w:w="2490"/>
      </w:tblGrid>
      <w:tr>
        <w:trPr>
          <w:cantSplit/>
          <w:tblHeader w:val="true"/>
        </w:trPr>
        <w:tc>
          <w:tcPr>
            <w:tcW w:type="dxa" w:w="15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External system</w:t>
            </w:r>
          </w:p>
        </w:tc>
        <w:tc>
          <w:tcPr>
            <w:tcW w:type="dxa" w:w="18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Purpose</w:t>
            </w:r>
          </w:p>
        </w:tc>
        <w:tc>
          <w:tcPr>
            <w:tcW w:type="dxa" w:w="352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Integration pattern</w:t>
            </w:r>
          </w:p>
        </w:tc>
        <w:tc>
          <w:tcPr>
            <w:tcW w:type="dxa" w:w="249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Boundary</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BIR ORUS</w:t>
            </w:r>
          </w:p>
        </w:tc>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Registration and update journey</w:t>
            </w:r>
          </w:p>
        </w:tc>
        <w:tc>
          <w:tcPr>
            <w:tcW w:type="dxa" w:w="352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Deep link, prepared checklist, user-guided entry, captured confirmation</w:t>
            </w:r>
          </w:p>
        </w:tc>
        <w:tc>
          <w:tcPr>
            <w:tcW w:type="dxa" w:w="249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No undocumented automation</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eBIRForms / eFPS</w:t>
            </w:r>
          </w:p>
        </w:tc>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Return preparation and filing</w:t>
            </w:r>
          </w:p>
        </w:tc>
        <w:tc>
          <w:tcPr>
            <w:tcW w:type="dxa" w:w="352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Validated export or guided hand-off; future authorized submission adapter</w:t>
            </w:r>
          </w:p>
        </w:tc>
        <w:tc>
          <w:tcPr>
            <w:tcW w:type="dxa" w:w="249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Approval and acknowledgement required</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BIR ePayment channels</w:t>
            </w:r>
          </w:p>
        </w:tc>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Tax payment</w:t>
            </w:r>
          </w:p>
        </w:tc>
        <w:tc>
          <w:tcPr>
            <w:tcW w:type="dxa" w:w="352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Approved payment instructions or provider redirect; proof capture</w:t>
            </w:r>
          </w:p>
        </w:tc>
        <w:tc>
          <w:tcPr>
            <w:tcW w:type="dxa" w:w="249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Filing approval is not payment approval</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Banks, e-wallets, platforms</w:t>
            </w:r>
          </w:p>
        </w:tc>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Data import or payment</w:t>
            </w:r>
          </w:p>
        </w:tc>
        <w:tc>
          <w:tcPr>
            <w:tcW w:type="dxa" w:w="352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User-consented adapters with least-privilege scopes</w:t>
            </w:r>
          </w:p>
        </w:tc>
        <w:tc>
          <w:tcPr>
            <w:tcW w:type="dxa" w:w="249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No screen scraping of credentials</w:t>
            </w:r>
          </w:p>
        </w:tc>
      </w:tr>
      <w:tr>
        <w:trPr>
          <w:cantSplit/>
        </w:trPr>
        <w:tc>
          <w:tcPr>
            <w:tcW w:type="dxa" w:w="155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Email and storage</w:t>
            </w:r>
          </w:p>
        </w:tc>
        <w:tc>
          <w:tcPr>
            <w:tcW w:type="dxa" w:w="1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Optional evidence ingestion</w:t>
            </w:r>
          </w:p>
        </w:tc>
        <w:tc>
          <w:tcPr>
            <w:tcW w:type="dxa" w:w="352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Explicitly connected accounts, narrow filters, revocable access</w:t>
            </w:r>
          </w:p>
        </w:tc>
        <w:tc>
          <w:tcPr>
            <w:tcW w:type="dxa" w:w="249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No broad mailbox or drive indexing by default</w:t>
            </w:r>
          </w:p>
        </w:tc>
      </w:tr>
    </w:tbl>
    <w:p>
      <w:pPr>
        <w:spacing w:after="0"/>
      </w:pPr>
    </w:p>
    <w:p>
      <w:pPr>
        <w:pStyle w:val="Heading1"/>
      </w:pPr>
      <w:r>
        <w:t>9. Data Architecture</w:t>
      </w:r>
    </w:p>
    <w:p>
      <w:pPr>
        <w:pStyle w:val="Heading2"/>
      </w:pPr>
      <w:r>
        <w:t>9.1 Core Entities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50"/>
        <w:gridCol w:w="7310"/>
      </w:tblGrid>
      <w:tr>
        <w:trPr>
          <w:cantSplit/>
          <w:tblHeader w:val="true"/>
        </w:trPr>
        <w:tc>
          <w:tcPr>
            <w:tcW w:type="dxa" w:w="20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Entity</w:t>
            </w:r>
          </w:p>
        </w:tc>
        <w:tc>
          <w:tcPr>
            <w:tcW w:type="dxa" w:w="73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Minimum contents</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TaxpayerProfile</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Identity, contact, taxpayer class, business/profession, RDO, profile version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Registration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TIN/branch references, tax types, regime, registration documents, effective dates</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IncomeSource</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Client, platform, employment, marketplace, foreign or local source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Transaction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Amount, currency, date, counterparty, category, tax treatment, evidence, confidence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Document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Original object, type, hash, extracted fields, review status, retention state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Invoice</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Sequence, customer, line items, amount, issue date, status, artifact</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TaxRule</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Rule ID, jurisdiction, source, effective interval, logic version, tests, approval</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Obligation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Tax type, period, due date, status, blockers, readiness, evidence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ComputationRun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Immutable inputs, rule set, trace, outputs, warnings, supersession link</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ReturnDraft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Form and version, mapped values, validations, approval, export/submission state</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Payment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Liability, channel, intent, approval, amount, reference, evidence, reconciliation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AgentTask</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Goal, agent, inputs, tool scope, risk, confidence, state, output</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AuditEvent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Actor, action, target, before/after references, time, device or integration context</w:t>
            </w:r>
          </w:p>
        </w:tc>
      </w:tr>
    </w:tbl>
    <w:p>
      <w:pPr>
        <w:spacing w:after="0"/>
      </w:pPr>
    </w:p>
    <w:p>
      <w:pPr>
        <w:pStyle w:val="Heading2"/>
      </w:pPr>
      <w:r>
        <w:t>9.2 Data Integrity Rules</w:t>
      </w:r>
    </w:p>
    <w:p>
      <w:pPr>
        <w:numPr>
          <w:ilvl w:val="0"/>
          <w:numId w:val="80"/>
        </w:numPr>
      </w:pPr>
      <w:r>
        <w:rPr>
          <w:rFonts w:ascii="Calibri" w:hAnsi="Calibri"/>
          <w:b w:val="0"/>
          <w:i w:val="0"/>
          <w:color w:val="0B2545"/>
          <w:sz w:val="22"/>
        </w:rPr>
        <w:t>Use effective dates and supersession links instead of overwriting tax profiles, computations, and return drafts.</w:t>
      </w:r>
    </w:p>
    <w:p>
      <w:pPr>
        <w:numPr>
          <w:ilvl w:val="0"/>
          <w:numId w:val="80"/>
        </w:numPr>
      </w:pPr>
      <w:r>
        <w:rPr>
          <w:rFonts w:ascii="Calibri" w:hAnsi="Calibri"/>
          <w:b w:val="0"/>
          <w:i w:val="0"/>
          <w:color w:val="0B2545"/>
          <w:sz w:val="22"/>
        </w:rPr>
        <w:t>Use decimal types for money and preserve the original source amount, currency, conversion input, and rounded reporting amount.</w:t>
      </w:r>
    </w:p>
    <w:p>
      <w:pPr>
        <w:numPr>
          <w:ilvl w:val="0"/>
          <w:numId w:val="80"/>
        </w:numPr>
      </w:pPr>
      <w:r>
        <w:rPr>
          <w:rFonts w:ascii="Calibri" w:hAnsi="Calibri"/>
          <w:b w:val="0"/>
          <w:i w:val="0"/>
          <w:color w:val="0B2545"/>
          <w:sz w:val="22"/>
        </w:rPr>
        <w:t>Bind each derived figure to its source records and active rule version.</w:t>
      </w:r>
    </w:p>
    <w:p>
      <w:pPr>
        <w:numPr>
          <w:ilvl w:val="0"/>
          <w:numId w:val="80"/>
        </w:numPr>
      </w:pPr>
      <w:r>
        <w:rPr>
          <w:rFonts w:ascii="Calibri" w:hAnsi="Calibri"/>
          <w:b w:val="0"/>
          <w:i w:val="0"/>
          <w:color w:val="0B2545"/>
          <w:sz w:val="22"/>
        </w:rPr>
        <w:t>Lock records included in an approved return; later changes create an adjustment workflow.</w:t>
      </w:r>
    </w:p>
    <w:p>
      <w:pPr>
        <w:numPr>
          <w:ilvl w:val="0"/>
          <w:numId w:val="80"/>
        </w:numPr>
      </w:pPr>
      <w:r>
        <w:rPr>
          <w:rFonts w:ascii="Calibri" w:hAnsi="Calibri"/>
          <w:b w:val="0"/>
          <w:i w:val="0"/>
          <w:color w:val="0B2545"/>
          <w:sz w:val="22"/>
        </w:rPr>
        <w:t>Store originals separately from extracted or user-corrected values.</w:t>
      </w:r>
    </w:p>
    <w:p>
      <w:pPr>
        <w:numPr>
          <w:ilvl w:val="0"/>
          <w:numId w:val="80"/>
        </w:numPr>
      </w:pPr>
      <w:r>
        <w:rPr>
          <w:rFonts w:ascii="Calibri" w:hAnsi="Calibri"/>
          <w:b w:val="0"/>
          <w:i w:val="0"/>
          <w:color w:val="0B2545"/>
          <w:sz w:val="22"/>
        </w:rPr>
        <w:t>Enforce tenant isolation at query, storage, cache, search, and agent-context layers.</w:t>
      </w:r>
    </w:p>
    <w:p>
      <w:pPr>
        <w:pStyle w:val="Heading1"/>
      </w:pPr>
      <w:r>
        <w:t>10. AI, Rules, and Knowledge Design</w:t>
      </w:r>
    </w:p>
    <w:p>
      <w:pPr>
        <w:pStyle w:val="Heading2"/>
      </w:pPr>
      <w:r>
        <w:t>10.1 Responsibility Split</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50"/>
        <w:gridCol w:w="7210"/>
      </w:tblGrid>
      <w:tr>
        <w:trPr>
          <w:cantSplit/>
          <w:tblHeader w:val="true"/>
        </w:trPr>
        <w:tc>
          <w:tcPr>
            <w:tcW w:type="dxa" w:w="21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Component</w:t>
            </w:r>
          </w:p>
        </w:tc>
        <w:tc>
          <w:tcPr>
            <w:tcW w:type="dxa" w:w="72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Authoritative responsibility</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Language model</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Conversation, intent extraction, document understanding, categorization proposals, explanations, summaries</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Rules engine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Tax applicability, eligibility, thresholds, deadlines, form mapping, penalties, validation</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Computation engine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Arithmetic, rounding, aggregation, tax due, credits, scenario comparison</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Workflow engine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Task state, dependencies, retries, approvals, timeouts, exceptions</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Policy engine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Tool access, approval requirements, data scopes, risk controls, retention</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Human reviewer</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Ambiguous tax interpretation, unresolved evidence, new rule approval, high-risk exceptions</w:t>
            </w:r>
          </w:p>
        </w:tc>
      </w:tr>
    </w:tbl>
    <w:p>
      <w:pPr>
        <w:spacing w:after="0"/>
      </w:pPr>
    </w:p>
    <w:p>
      <w:pPr>
        <w:pStyle w:val="Heading2"/>
      </w:pPr>
      <w:r>
        <w:t>10.2 Knowledge Source Policy</w:t>
      </w:r>
    </w:p>
    <w:p>
      <w:pPr>
        <w:numPr>
          <w:ilvl w:val="0"/>
          <w:numId w:val="80"/>
        </w:numPr>
      </w:pPr>
      <w:r>
        <w:rPr>
          <w:rFonts w:ascii="Calibri" w:hAnsi="Calibri"/>
          <w:b w:val="0"/>
          <w:i w:val="0"/>
          <w:color w:val="0B2545"/>
          <w:sz w:val="22"/>
        </w:rPr>
        <w:t>Prefer official BIR, Department of Finance, Official Gazette, and National Privacy Commission publications.</w:t>
      </w:r>
    </w:p>
    <w:p>
      <w:pPr>
        <w:numPr>
          <w:ilvl w:val="0"/>
          <w:numId w:val="80"/>
        </w:numPr>
      </w:pPr>
      <w:r>
        <w:rPr>
          <w:rFonts w:ascii="Calibri" w:hAnsi="Calibri"/>
          <w:b w:val="0"/>
          <w:i w:val="0"/>
          <w:color w:val="0B2545"/>
          <w:sz w:val="22"/>
        </w:rPr>
        <w:t>Store the source URL or document, title, publication date, effective date, jurisdiction, affected taxpayer classes, and last validation date.</w:t>
      </w:r>
    </w:p>
    <w:p>
      <w:pPr>
        <w:numPr>
          <w:ilvl w:val="0"/>
          <w:numId w:val="80"/>
        </w:numPr>
      </w:pPr>
      <w:r>
        <w:rPr>
          <w:rFonts w:ascii="Calibri" w:hAnsi="Calibri"/>
          <w:b w:val="0"/>
          <w:i w:val="0"/>
          <w:color w:val="0B2545"/>
          <w:sz w:val="22"/>
        </w:rPr>
        <w:t>Never treat a model's memory as a tax authority. Unsupported material claims are blocked or clearly labeled for review.</w:t>
      </w:r>
    </w:p>
    <w:p>
      <w:pPr>
        <w:numPr>
          <w:ilvl w:val="0"/>
          <w:numId w:val="80"/>
        </w:numPr>
      </w:pPr>
      <w:r>
        <w:rPr>
          <w:rFonts w:ascii="Calibri" w:hAnsi="Calibri"/>
          <w:b w:val="0"/>
          <w:i w:val="0"/>
          <w:color w:val="0B2545"/>
          <w:sz w:val="22"/>
        </w:rPr>
        <w:t>New or changed rules pass two-person review and automated regression tests before activation.</w:t>
      </w:r>
    </w:p>
    <w:p>
      <w:pPr>
        <w:numPr>
          <w:ilvl w:val="0"/>
          <w:numId w:val="80"/>
        </w:numPr>
      </w:pPr>
      <w:r>
        <w:rPr>
          <w:rFonts w:ascii="Calibri" w:hAnsi="Calibri"/>
          <w:b w:val="0"/>
          <w:i w:val="0"/>
          <w:color w:val="0B2545"/>
          <w:sz w:val="22"/>
        </w:rPr>
        <w:t>When a rule changes, preserve the previous rule set for historical periods and identify impacted open obligations.</w:t>
      </w:r>
    </w:p>
    <w:p>
      <w:pPr>
        <w:pStyle w:val="Heading2"/>
      </w:pPr>
      <w:r>
        <w:t>10.3 Orchestrator Context Contract</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9360"/>
      </w:tblGrid>
      <w:tr>
        <w:trPr>
          <w:cantSplit/>
        </w:trPr>
        <w:tc>
          <w:tcPr>
            <w:tcW w:type="dxa" w:w="9360"/>
            <w:tcMar>
              <w:top w:w="80" w:type="dxa"/>
              <w:start w:w="120" w:type="dxa"/>
              <w:bottom w:w="80" w:type="dxa"/>
              <w:end w:w="120" w:type="dxa"/>
            </w:tcMar>
            <w:vAlign w:val="center"/>
            <w:shd w:fill="F7F8FA"/>
          </w:tcPr>
          <w:p>
            <w:pPr>
              <w:spacing w:before="40" w:after="40" w:line="240" w:lineRule="auto"/>
            </w:pPr>
            <w:r>
              <w:rPr>
                <w:rFonts w:ascii="Courier New" w:hAnsi="Courier New"/>
                <w:b w:val="0"/>
                <w:i w:val="0"/>
                <w:color w:val="2B2F33"/>
                <w:sz w:val="16"/>
              </w:rPr>
              <w:t>{</w:t>
            </w:r>
            <w:r>
              <w:br/>
            </w:r>
            <w:r>
              <w:rPr>
                <w:rFonts w:ascii="Courier New" w:hAnsi="Courier New"/>
                <w:b w:val="0"/>
                <w:i w:val="0"/>
                <w:color w:val="2B2F33"/>
                <w:sz w:val="16"/>
              </w:rPr>
              <w:t xml:space="preserve">  "taxpayer_profile_version": "profile-v17",</w:t>
            </w:r>
            <w:r>
              <w:br/>
            </w:r>
            <w:r>
              <w:rPr>
                <w:rFonts w:ascii="Courier New" w:hAnsi="Courier New"/>
                <w:b w:val="0"/>
                <w:i w:val="0"/>
                <w:color w:val="2B2F33"/>
                <w:sz w:val="16"/>
              </w:rPr>
              <w:t xml:space="preserve">  "active_rule_set": "ph-bir-2026.07",</w:t>
            </w:r>
            <w:r>
              <w:br/>
            </w:r>
            <w:r>
              <w:rPr>
                <w:rFonts w:ascii="Courier New" w:hAnsi="Courier New"/>
                <w:b w:val="0"/>
                <w:i w:val="0"/>
                <w:color w:val="2B2F33"/>
                <w:sz w:val="16"/>
              </w:rPr>
              <w:t xml:space="preserve">  "task": {"type": "prepare_quarterly_return", "period": "2026-Q2"},</w:t>
            </w:r>
            <w:r>
              <w:br/>
            </w:r>
            <w:r>
              <w:rPr>
                <w:rFonts w:ascii="Courier New" w:hAnsi="Courier New"/>
                <w:b w:val="0"/>
                <w:i w:val="0"/>
                <w:color w:val="2B2F33"/>
                <w:sz w:val="16"/>
              </w:rPr>
              <w:t xml:space="preserve">  "permitted_tools": ["records.read", "documents.read", "compute.run", "return.draft"],</w:t>
            </w:r>
            <w:r>
              <w:br/>
            </w:r>
            <w:r>
              <w:rPr>
                <w:rFonts w:ascii="Courier New" w:hAnsi="Courier New"/>
                <w:b w:val="0"/>
                <w:i w:val="0"/>
                <w:color w:val="2B2F33"/>
                <w:sz w:val="16"/>
              </w:rPr>
              <w:t xml:space="preserve">  "approval_scope": null,</w:t>
            </w:r>
            <w:r>
              <w:br/>
            </w:r>
            <w:r>
              <w:rPr>
                <w:rFonts w:ascii="Courier New" w:hAnsi="Courier New"/>
                <w:b w:val="0"/>
                <w:i w:val="0"/>
                <w:color w:val="2B2F33"/>
                <w:sz w:val="16"/>
              </w:rPr>
              <w:t xml:space="preserve">  "material_assumptions": [],</w:t>
            </w:r>
            <w:r>
              <w:br/>
            </w:r>
            <w:r>
              <w:rPr>
                <w:rFonts w:ascii="Courier New" w:hAnsi="Courier New"/>
                <w:b w:val="0"/>
                <w:i w:val="0"/>
                <w:color w:val="2B2F33"/>
                <w:sz w:val="16"/>
              </w:rPr>
              <w:t xml:space="preserve">  "open_exceptions": [],</w:t>
            </w:r>
            <w:r>
              <w:br/>
            </w:r>
            <w:r>
              <w:rPr>
                <w:rFonts w:ascii="Courier New" w:hAnsi="Courier New"/>
                <w:b w:val="0"/>
                <w:i w:val="0"/>
                <w:color w:val="2B2F33"/>
                <w:sz w:val="16"/>
              </w:rPr>
              <w:t xml:space="preserve">  "required_output": ["readiness", "computation_run_id", "draft_id", "review_summary"]</w:t>
            </w:r>
            <w:r>
              <w:br/>
            </w:r>
            <w:r>
              <w:rPr>
                <w:rFonts w:ascii="Courier New" w:hAnsi="Courier New"/>
                <w:b w:val="0"/>
                <w:i w:val="0"/>
                <w:color w:val="2B2F33"/>
                <w:sz w:val="16"/>
              </w:rPr>
              <w:t>}</w:t>
            </w:r>
          </w:p>
        </w:tc>
      </w:tr>
    </w:tbl>
    <w:p>
      <w:pPr>
        <w:spacing w:after="0"/>
      </w:pPr>
    </w:p>
    <w:p>
      <w:pPr>
        <w:pStyle w:val="Heading1"/>
      </w:pPr>
      <w:r>
        <w:t>11. Privacy, Security, and Trust</w:t>
      </w:r>
    </w:p>
    <w:p>
      <w:pPr>
        <w:spacing w:before="0" w:after="120" w:line="264" w:lineRule="auto"/>
      </w:pPr>
      <w:r>
        <w:rPr>
          <w:rFonts w:ascii="Calibri" w:hAnsi="Calibri"/>
          <w:b w:val="0"/>
          <w:i w:val="0"/>
          <w:color w:val="0B2545"/>
          <w:sz w:val="22"/>
        </w:rPr>
        <w:t>eTaxPH will process personal, financial, and government-issued identifiers. The product must be designed around the Data Privacy Act of 2012, its implementing rules, current NPC security requirements, and applicable contractual obligations. Legal review remains required before production launch.</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50"/>
        <w:gridCol w:w="7310"/>
      </w:tblGrid>
      <w:tr>
        <w:trPr>
          <w:cantSplit/>
          <w:tblHeader w:val="true"/>
        </w:trPr>
        <w:tc>
          <w:tcPr>
            <w:tcW w:type="dxa" w:w="20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Control area</w:t>
            </w:r>
          </w:p>
        </w:tc>
        <w:tc>
          <w:tcPr>
            <w:tcW w:type="dxa" w:w="73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Minimum requirement</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Identity</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MFA for material actions, secure recovery, session risk checks, delegate separation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Authorization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Least privilege, tenant isolation, role and attribute-based controls, step-up approval</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Encryption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Strong encryption in transit and at rest; managed keys and rotation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Secrets</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Central secrets manager; no secrets in prompts, logs, source code, or documents</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Documents</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Malware scanning, encrypted object storage, signed short-lived access, hash verification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Agent safety</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Tool allowlists, schema validation, prompt-injection defenses, context minimization</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Audit</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Tamper-evident events for access, computation, approval, submission, payment, and rule changes</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Privacy rights</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Clear notice, access, correction, export, deletion or lawful restriction, consent withdrawal</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Retention</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Purpose-specific schedules, legal holds, secure deletion, and user-visible policy</w:t>
            </w:r>
          </w:p>
        </w:tc>
      </w:tr>
      <w:tr>
        <w:trPr>
          <w:cantSplit/>
        </w:trPr>
        <w:tc>
          <w:tcPr>
            <w:tcW w:type="dxa" w:w="205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Incident response</w:t>
            </w:r>
          </w:p>
        </w:tc>
        <w:tc>
          <w:tcPr>
            <w:tcW w:type="dxa" w:w="731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Detection, containment, investigation, recovery, and applicable notification workflow</w:t>
            </w:r>
          </w:p>
        </w:tc>
      </w:tr>
    </w:tbl>
    <w:p>
      <w:pPr>
        <w:spacing w:after="0"/>
      </w:pPr>
    </w:p>
    <w:p>
      <w:pPr>
        <w:pStyle w:val="Heading2"/>
      </w:pPr>
      <w:r>
        <w:t>11.1 Privacy-by-Design Rules for Agents</w:t>
      </w:r>
    </w:p>
    <w:p>
      <w:pPr>
        <w:numPr>
          <w:ilvl w:val="0"/>
          <w:numId w:val="80"/>
        </w:numPr>
      </w:pPr>
      <w:r>
        <w:rPr>
          <w:rFonts w:ascii="Calibri" w:hAnsi="Calibri"/>
          <w:b w:val="0"/>
          <w:i w:val="0"/>
          <w:color w:val="0B2545"/>
          <w:sz w:val="22"/>
        </w:rPr>
        <w:t>Retrieve only the minimum records required for the active task.</w:t>
      </w:r>
    </w:p>
    <w:p>
      <w:pPr>
        <w:numPr>
          <w:ilvl w:val="0"/>
          <w:numId w:val="80"/>
        </w:numPr>
      </w:pPr>
      <w:r>
        <w:rPr>
          <w:rFonts w:ascii="Calibri" w:hAnsi="Calibri"/>
          <w:b w:val="0"/>
          <w:i w:val="0"/>
          <w:color w:val="0B2545"/>
          <w:sz w:val="22"/>
        </w:rPr>
        <w:t>Do not place full TINs, identity documents, bank details, or raw receipts into logs or analytics events.</w:t>
      </w:r>
    </w:p>
    <w:p>
      <w:pPr>
        <w:numPr>
          <w:ilvl w:val="0"/>
          <w:numId w:val="80"/>
        </w:numPr>
      </w:pPr>
      <w:r>
        <w:rPr>
          <w:rFonts w:ascii="Calibri" w:hAnsi="Calibri"/>
          <w:b w:val="0"/>
          <w:i w:val="0"/>
          <w:color w:val="0B2545"/>
          <w:sz w:val="22"/>
        </w:rPr>
        <w:t>Do not persist conversational context beyond the declared purpose and retention policy.</w:t>
      </w:r>
    </w:p>
    <w:p>
      <w:pPr>
        <w:numPr>
          <w:ilvl w:val="0"/>
          <w:numId w:val="80"/>
        </w:numPr>
      </w:pPr>
      <w:r>
        <w:rPr>
          <w:rFonts w:ascii="Calibri" w:hAnsi="Calibri"/>
          <w:b w:val="0"/>
          <w:i w:val="0"/>
          <w:color w:val="0B2545"/>
          <w:sz w:val="22"/>
        </w:rPr>
        <w:t>Do not send tax data to a new model, provider, or region without approved processing terms and data-flow review.</w:t>
      </w:r>
    </w:p>
    <w:p>
      <w:pPr>
        <w:numPr>
          <w:ilvl w:val="0"/>
          <w:numId w:val="80"/>
        </w:numPr>
      </w:pPr>
      <w:r>
        <w:rPr>
          <w:rFonts w:ascii="Calibri" w:hAnsi="Calibri"/>
          <w:b w:val="0"/>
          <w:i w:val="0"/>
          <w:color w:val="0B2545"/>
          <w:sz w:val="22"/>
        </w:rPr>
        <w:t>Redact sensitive values in support tools and require audited break-glass access.</w:t>
      </w:r>
    </w:p>
    <w:p>
      <w:pPr>
        <w:pStyle w:val="Heading1"/>
      </w:pPr>
      <w:r>
        <w:t>12. Non-Functional Requirements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7460"/>
      </w:tblGrid>
      <w:tr>
        <w:trPr>
          <w:cantSplit/>
          <w:tblHeader w:val="true"/>
        </w:trPr>
        <w:tc>
          <w:tcPr>
            <w:tcW w:type="dxa" w:w="19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Quality</w:t>
            </w:r>
          </w:p>
        </w:tc>
        <w:tc>
          <w:tcPr>
            <w:tcW w:type="dxa" w:w="74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Target</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Correctness</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100% pass rate for approved deterministic tax-rule test cases before a rule release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Reproducibility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Any computation can be reproduced from stored inputs and the exact rule version</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Availability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Target 99.5% monthly availability for the MVP excluding announced maintenance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Performance</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Interactive reads under 2 seconds at p95; normal computation under 5 seconds at p95</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Durability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No acknowledged filing, approval, payment proof, or original document may be silently lost</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Recoverability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Documented backup, restore, RPO, and RTO validated before production</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Accessibility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Target WCAG 2.2 AA for core journeys and documents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Localization</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English and Filipino-ready content model; dates, currency, and tax terms remain unambiguous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Observability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Metrics, traces, structured events, agent-task outcomes, tool errors, and rule-version dashboards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Auditability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Every material output shows provenance; every material action has actor and consent evidence</w:t>
            </w:r>
          </w:p>
        </w:tc>
      </w:tr>
    </w:tbl>
    <w:p>
      <w:pPr>
        <w:spacing w:after="0"/>
      </w:pPr>
    </w:p>
    <w:p>
      <w:pPr>
        <w:pStyle w:val="Heading1"/>
      </w:pPr>
      <w:r>
        <w:t>13. MVP Release Definition</w:t>
      </w:r>
    </w:p>
    <w:p>
      <w:pPr>
        <w:pStyle w:val="Heading2"/>
      </w:pPr>
      <w:r>
        <w:t>13.1 P0 Release Slice</w:t>
      </w:r>
    </w:p>
    <w:p>
      <w:pPr>
        <w:numPr>
          <w:ilvl w:val="0"/>
          <w:numId w:val="80"/>
        </w:numPr>
      </w:pPr>
      <w:r>
        <w:rPr>
          <w:rFonts w:ascii="Calibri" w:hAnsi="Calibri"/>
          <w:b w:val="0"/>
          <w:i w:val="0"/>
          <w:color w:val="0B2545"/>
          <w:sz w:val="22"/>
        </w:rPr>
        <w:t>One taxpayer account and one active non-VAT self-employed profile.</w:t>
      </w:r>
    </w:p>
    <w:p>
      <w:pPr>
        <w:numPr>
          <w:ilvl w:val="0"/>
          <w:numId w:val="80"/>
        </w:numPr>
      </w:pPr>
      <w:r>
        <w:rPr>
          <w:rFonts w:ascii="Calibri" w:hAnsi="Calibri"/>
          <w:b w:val="0"/>
          <w:i w:val="0"/>
          <w:color w:val="0B2545"/>
          <w:sz w:val="22"/>
        </w:rPr>
        <w:t>Guided profile creation with assumptions and registration-readiness checklist.</w:t>
      </w:r>
    </w:p>
    <w:p>
      <w:pPr>
        <w:numPr>
          <w:ilvl w:val="0"/>
          <w:numId w:val="80"/>
        </w:numPr>
      </w:pPr>
      <w:r>
        <w:rPr>
          <w:rFonts w:ascii="Calibri" w:hAnsi="Calibri"/>
          <w:b w:val="0"/>
          <w:i w:val="0"/>
          <w:color w:val="0B2545"/>
          <w:sz w:val="22"/>
        </w:rPr>
        <w:t>Manual and CSV transaction capture, document upload, extraction, review, and classification.</w:t>
      </w:r>
    </w:p>
    <w:p>
      <w:pPr>
        <w:numPr>
          <w:ilvl w:val="0"/>
          <w:numId w:val="80"/>
        </w:numPr>
      </w:pPr>
      <w:r>
        <w:rPr>
          <w:rFonts w:ascii="Calibri" w:hAnsi="Calibri"/>
          <w:b w:val="0"/>
          <w:i w:val="0"/>
          <w:color w:val="0B2545"/>
          <w:sz w:val="22"/>
        </w:rPr>
        <w:t>Withholding-credit capture with document linkage.</w:t>
      </w:r>
    </w:p>
    <w:p>
      <w:pPr>
        <w:numPr>
          <w:ilvl w:val="0"/>
          <w:numId w:val="80"/>
        </w:numPr>
      </w:pPr>
      <w:r>
        <w:rPr>
          <w:rFonts w:ascii="Calibri" w:hAnsi="Calibri"/>
          <w:b w:val="0"/>
          <w:i w:val="0"/>
          <w:color w:val="0B2545"/>
          <w:sz w:val="22"/>
        </w:rPr>
        <w:t>Personalized obligations and reminders generated from a controlled rule set.</w:t>
      </w:r>
    </w:p>
    <w:p>
      <w:pPr>
        <w:numPr>
          <w:ilvl w:val="0"/>
          <w:numId w:val="80"/>
        </w:numPr>
      </w:pPr>
      <w:r>
        <w:rPr>
          <w:rFonts w:ascii="Calibri" w:hAnsi="Calibri"/>
          <w:b w:val="0"/>
          <w:i w:val="0"/>
          <w:color w:val="0B2545"/>
          <w:sz w:val="22"/>
        </w:rPr>
        <w:t>Deterministic tax estimate with calculation trace and source authority.</w:t>
      </w:r>
    </w:p>
    <w:p>
      <w:pPr>
        <w:numPr>
          <w:ilvl w:val="0"/>
          <w:numId w:val="80"/>
        </w:numPr>
      </w:pPr>
      <w:r>
        <w:rPr>
          <w:rFonts w:ascii="Calibri" w:hAnsi="Calibri"/>
          <w:b w:val="0"/>
          <w:i w:val="0"/>
          <w:color w:val="0B2545"/>
          <w:sz w:val="22"/>
        </w:rPr>
        <w:t>Quarterly return preparation workspace with validation and export or guided hand-off.</w:t>
      </w:r>
    </w:p>
    <w:p>
      <w:pPr>
        <w:numPr>
          <w:ilvl w:val="0"/>
          <w:numId w:val="80"/>
        </w:numPr>
      </w:pPr>
      <w:r>
        <w:rPr>
          <w:rFonts w:ascii="Calibri" w:hAnsi="Calibri"/>
          <w:b w:val="0"/>
          <w:i w:val="0"/>
          <w:color w:val="0B2545"/>
          <w:sz w:val="22"/>
        </w:rPr>
        <w:t>Separate payment task and proof capture.</w:t>
      </w:r>
    </w:p>
    <w:p>
      <w:pPr>
        <w:numPr>
          <w:ilvl w:val="0"/>
          <w:numId w:val="80"/>
        </w:numPr>
      </w:pPr>
      <w:r>
        <w:rPr>
          <w:rFonts w:ascii="Calibri" w:hAnsi="Calibri"/>
          <w:b w:val="0"/>
          <w:i w:val="0"/>
          <w:color w:val="0B2545"/>
          <w:sz w:val="22"/>
        </w:rPr>
        <w:t>Conversational assistant that can explain status and create proposed tasks.</w:t>
      </w:r>
    </w:p>
    <w:p>
      <w:pPr>
        <w:numPr>
          <w:ilvl w:val="0"/>
          <w:numId w:val="80"/>
        </w:numPr>
      </w:pPr>
      <w:r>
        <w:rPr>
          <w:rFonts w:ascii="Calibri" w:hAnsi="Calibri"/>
          <w:b w:val="0"/>
          <w:i w:val="0"/>
          <w:color w:val="0B2545"/>
          <w:sz w:val="22"/>
        </w:rPr>
        <w:t>Audit trail, rule administration, exception queue, consent, and security controls.</w:t>
      </w:r>
    </w:p>
    <w:p>
      <w:pPr>
        <w:pStyle w:val="Heading2"/>
      </w:pPr>
      <w:r>
        <w:t>13.2 P0 Exit Criteria</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7460"/>
      </w:tblGrid>
      <w:tr>
        <w:trPr>
          <w:cantSplit/>
          <w:tblHeader w:val="true"/>
        </w:trPr>
        <w:tc>
          <w:tcPr>
            <w:tcW w:type="dxa" w:w="19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Gate</w:t>
            </w:r>
          </w:p>
        </w:tc>
        <w:tc>
          <w:tcPr>
            <w:tcW w:type="dxa" w:w="74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Evidence required</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Tax design</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 Philippine tax professional approves the supported profile, rules, forms, and edge-case exclusions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Rule quality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Golden-case and boundary-case suites pass for all active rules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User journey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Pilot users complete onboarding to filing preparation without staff reconstructing their records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Safety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No material external action can occur without an approval bound to the exact action payload</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Privacy</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Privacy impact assessment, data inventory, retention schedule, and incident process are approved</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Operations</w:t>
            </w:r>
          </w:p>
        </w:tc>
        <w:tc>
          <w:tcPr>
            <w:tcW w:type="dxa" w:w="74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Support, exception review, rule rollback, backup restore, and audit export are tested</w:t>
            </w:r>
          </w:p>
        </w:tc>
      </w:tr>
    </w:tbl>
    <w:p>
      <w:pPr>
        <w:spacing w:after="0"/>
      </w:pPr>
    </w:p>
    <w:p>
      <w:pPr>
        <w:pStyle w:val="Heading1"/>
      </w:pPr>
      <w:r>
        <w:t>14. Roadmap</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rPr>
          <w:cantSplit/>
          <w:tblHeader w:val="true"/>
        </w:trPr>
        <w:tc>
          <w:tcPr>
            <w:tcW w:type="dxa" w:w="2300"/>
            <w:tcMar>
              <w:top w:w="80" w:type="dxa"/>
              <w:start w:w="120" w:type="dxa"/>
              <w:bottom w:w="80" w:type="dxa"/>
              <w:end w:w="120" w:type="dxa"/>
            </w:tcMar>
            <w:vAlign w:val="center"/>
            <w:shd w:fill="E8EEF5"/>
          </w:tcPr>
          <w:p>
            <w:pPr>
              <w:spacing w:before="20" w:after="20" w:line="240" w:lineRule="auto"/>
            </w:pPr>
            <w:r>
              <w:rPr>
                <w:rFonts w:ascii="Calibri" w:hAnsi="Calibri"/>
                <w:b/>
                <w:i w:val="0"/>
                <w:color w:val="0B2545"/>
                <w:sz w:val="18"/>
              </w:rPr>
              <w:t>Phase</w:t>
            </w:r>
          </w:p>
        </w:tc>
        <w:tc>
          <w:tcPr>
            <w:tcW w:type="dxa" w:w="7060"/>
            <w:tcMar>
              <w:top w:w="80" w:type="dxa"/>
              <w:start w:w="120" w:type="dxa"/>
              <w:bottom w:w="80" w:type="dxa"/>
              <w:end w:w="120" w:type="dxa"/>
            </w:tcMar>
            <w:vAlign w:val="center"/>
            <w:shd w:fill="E8EEF5"/>
          </w:tcPr>
          <w:p>
            <w:pPr>
              <w:spacing w:before="20" w:after="20" w:line="240" w:lineRule="auto"/>
            </w:pPr>
            <w:r>
              <w:rPr>
                <w:rFonts w:ascii="Calibri" w:hAnsi="Calibri"/>
                <w:b/>
                <w:i w:val="0"/>
                <w:color w:val="0B2545"/>
                <w:sz w:val="18"/>
              </w:rPr>
              <w:t>Primary outcome</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Phase 0 - Tax foundation</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Tax ontology, taxpayer-profile rules, source registry, computation engine, form mapping, golden tests</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Phase 1 - Agentic records MVP</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Onboarding, records, documents, classifications, obligations, estimates, assistant, review queues</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Phase 2 - Assisted filing</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Return workspace, validations, exports or guided BIR hand-off, acknowledgement and payment proof</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Phase 3 - Controlled integrations</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Authorized filing/payment adapters, connected imports, accountant collaboration, advanced reconciliation</w:t>
            </w:r>
          </w:p>
        </w:tc>
      </w:tr>
      <w:tr>
        <w:trPr>
          <w:cantSplit/>
        </w:trPr>
        <w:tc>
          <w:tcPr>
            <w:tcW w:type="dxa" w:w="230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Phase 4 - Broader taxpayer coverage</w:t>
            </w:r>
          </w:p>
        </w:tc>
        <w:tc>
          <w:tcPr>
            <w:tcW w:type="dxa" w:w="706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VAT, mixed income, small business, corporate and employer workflows based on validated demand</w:t>
            </w:r>
          </w:p>
        </w:tc>
      </w:tr>
    </w:tbl>
    <w:p>
      <w:pPr>
        <w:spacing w:after="0"/>
      </w:pPr>
    </w:p>
    <w:p>
      <w:pPr>
        <w:pStyle w:val="Heading1"/>
      </w:pPr>
      <w:r>
        <w:t>15. Success Metrics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50"/>
        <w:gridCol w:w="7210"/>
      </w:tblGrid>
      <w:tr>
        <w:trPr>
          <w:cantSplit/>
          <w:tblHeader w:val="true"/>
        </w:trPr>
        <w:tc>
          <w:tcPr>
            <w:tcW w:type="dxa" w:w="215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Metric</w:t>
            </w:r>
          </w:p>
        </w:tc>
        <w:tc>
          <w:tcPr>
            <w:tcW w:type="dxa" w:w="721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8"/>
              </w:rPr>
              <w:t>Definition</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Activation</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eligible users who complete a verified tax profile and first record import</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Record completeness</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filing periods with all required income, credits, and evidence resolved before review</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Preparation time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Median active time from opening a filing workspace to a review-ready draft</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First-pass validity</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drafts passing deterministic validation without material correction</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On-time readiness</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obligations review-ready before the configured due-date buffer</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Agent acceptance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agent proposals accepted without material edit, segmented by confidence</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Exception rate</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Material exceptions per filing workspace and median resolution time</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Trust</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material explanations opened, sources viewed, and approvals completed without support escalation</w:t>
            </w:r>
          </w:p>
        </w:tc>
      </w:tr>
      <w:tr>
        <w:trPr>
          <w:cantSplit/>
        </w:trPr>
        <w:tc>
          <w:tcPr>
            <w:tcW w:type="dxa" w:w="2150"/>
            <w:tcMar>
              <w:top w:w="80" w:type="dxa"/>
              <w:start w:w="120" w:type="dxa"/>
              <w:bottom w:w="80" w:type="dxa"/>
              <w:end w:w="120" w:type="dxa"/>
            </w:tcMar>
            <w:vAlign w:val="center"/>
          </w:tcPr>
          <w:p>
            <w:pPr>
              <w:spacing w:before="20" w:after="20" w:line="252" w:lineRule="auto"/>
            </w:pPr>
            <w:r>
              <w:rPr>
                <w:rFonts w:ascii="Calibri" w:hAnsi="Calibri"/>
                <w:b/>
                <w:i w:val="0"/>
                <w:color w:val="0B2545"/>
                <w:sz w:val="18"/>
              </w:rPr>
              <w:t>Outcome completion</w:t>
            </w:r>
          </w:p>
        </w:tc>
        <w:tc>
          <w:tcPr>
            <w:tcW w:type="dxa" w:w="7210"/>
            <w:tcMar>
              <w:top w:w="80" w:type="dxa"/>
              <w:start w:w="120" w:type="dxa"/>
              <w:bottom w:w="80" w:type="dxa"/>
              <w:end w:w="120" w:type="dxa"/>
            </w:tcMar>
            <w:vAlign w:val="center"/>
          </w:tcPr>
          <w:p>
            <w:pPr>
              <w:spacing w:before="20" w:after="20" w:line="252" w:lineRule="auto"/>
            </w:pPr>
            <w:r>
              <w:rPr>
                <w:rFonts w:ascii="Calibri" w:hAnsi="Calibri"/>
                <w:b w:val="0"/>
                <w:i w:val="0"/>
                <w:color w:val="0B2545"/>
                <w:sz w:val="18"/>
              </w:rPr>
              <w:t>Share of filed obligations with acknowledgement and payment proof where applicable</w:t>
            </w:r>
          </w:p>
        </w:tc>
      </w:tr>
    </w:tbl>
    <w:p>
      <w:pPr>
        <w:spacing w:after="0"/>
      </w:pPr>
    </w:p>
    <w:p>
      <w:pPr>
        <w:pStyle w:val="Heading1"/>
      </w:pPr>
      <w:r>
        <w:t>16. Key Risks and Mitigations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800"/>
        <w:gridCol w:w="4660"/>
      </w:tblGrid>
      <w:tr>
        <w:trPr>
          <w:cantSplit/>
          <w:tblHeader w:val="true"/>
        </w:trPr>
        <w:tc>
          <w:tcPr>
            <w:tcW w:type="dxa" w:w="19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Risk</w:t>
            </w:r>
          </w:p>
        </w:tc>
        <w:tc>
          <w:tcPr>
            <w:tcW w:type="dxa" w:w="28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Failure mode</w:t>
            </w:r>
          </w:p>
        </w:tc>
        <w:tc>
          <w:tcPr>
            <w:tcW w:type="dxa" w:w="46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6"/>
              </w:rPr>
              <w:t>Mitigation</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Incorrect tax guidance</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Wrong obligation, form, or amount</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Deterministic rules, official-source registry, tax-professional review, regression tests, visible assumptions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Hallucinated authority</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Model cites or invents unsupported rules</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Retrieval allowlist, source-required material answers, assurance agent, block unsupported claims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Silent bad data</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Classification or extraction changes liability</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Confidence thresholds, reconciliation, side-by-side review, source preservation</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Unauthorized action</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Unintended filing, payment, or profile change</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Payload-bound approval, MFA, tool policy, idempotency, immutable audit</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Rule drift</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Changed forms or deadlines make output stale</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Source monitoring, effective-dated rules, release workflow, impacted-obligation alerts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Privacy breach</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Exposure of identity, tax, or financial data</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Minimization, isolation, encryption, access controls, secure support, incident response</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False completion</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System reports filed or paid without evidence</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Acknowledgement and payment-proof requirements; pending or exception state for unknown outcomes</w:t>
            </w:r>
          </w:p>
        </w:tc>
      </w:tr>
      <w:tr>
        <w:trPr>
          <w:cantSplit/>
        </w:trPr>
        <w:tc>
          <w:tcPr>
            <w:tcW w:type="dxa" w:w="1900"/>
            <w:tcMar>
              <w:top w:w="80" w:type="dxa"/>
              <w:start w:w="120" w:type="dxa"/>
              <w:bottom w:w="80" w:type="dxa"/>
              <w:end w:w="120" w:type="dxa"/>
            </w:tcMar>
            <w:vAlign w:val="center"/>
          </w:tcPr>
          <w:p>
            <w:pPr>
              <w:spacing w:before="20" w:after="20" w:line="252" w:lineRule="auto"/>
            </w:pPr>
            <w:r>
              <w:rPr>
                <w:rFonts w:ascii="Calibri" w:hAnsi="Calibri"/>
                <w:b/>
                <w:i w:val="0"/>
                <w:color w:val="0B2545"/>
                <w:sz w:val="16"/>
              </w:rPr>
              <w:t>Scope explosion</w:t>
            </w:r>
          </w:p>
        </w:tc>
        <w:tc>
          <w:tcPr>
            <w:tcW w:type="dxa" w:w="280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MVP attempts every taxpayer type</w:t>
            </w:r>
          </w:p>
        </w:tc>
        <w:tc>
          <w:tcPr>
            <w:tcW w:type="dxa" w:w="4660"/>
            <w:tcMar>
              <w:top w:w="80" w:type="dxa"/>
              <w:start w:w="120" w:type="dxa"/>
              <w:bottom w:w="80" w:type="dxa"/>
              <w:end w:w="120" w:type="dxa"/>
            </w:tcMar>
            <w:vAlign w:val="center"/>
          </w:tcPr>
          <w:p>
            <w:pPr>
              <w:spacing w:before="20" w:after="20" w:line="252" w:lineRule="auto"/>
            </w:pPr>
            <w:r>
              <w:rPr>
                <w:rFonts w:ascii="Calibri" w:hAnsi="Calibri"/>
                <w:b w:val="0"/>
                <w:i w:val="0"/>
                <w:color w:val="0B2545"/>
                <w:sz w:val="16"/>
              </w:rPr>
              <w:t>Eligibility gate, explicit exclusions, modular rules, staged roadmap</w:t>
            </w:r>
          </w:p>
        </w:tc>
      </w:tr>
    </w:tbl>
    <w:p>
      <w:pPr>
        <w:spacing w:after="0"/>
      </w:pPr>
    </w:p>
    <w:p>
      <w:pPr>
        <w:pStyle w:val="Heading1"/>
      </w:pPr>
      <w:r>
        <w:t>17. Acceptance Scenarios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rPr>
          <w:cantSplit/>
          <w:tblHeader w:val="true"/>
        </w:trPr>
        <w:tc>
          <w:tcPr>
            <w:tcW w:type="dxa" w:w="220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Scenario</w:t>
            </w:r>
          </w:p>
        </w:tc>
        <w:tc>
          <w:tcPr>
            <w:tcW w:type="dxa" w:w="7160"/>
            <w:tcMar>
              <w:top w:w="80" w:type="dxa"/>
              <w:start w:w="120" w:type="dxa"/>
              <w:bottom w:w="80" w:type="dxa"/>
              <w:end w:w="120" w:type="dxa"/>
            </w:tcMar>
            <w:vAlign w:val="center"/>
            <w:shd w:fill="F2F4F7"/>
          </w:tcPr>
          <w:p>
            <w:pPr>
              <w:spacing w:before="20" w:after="20" w:line="240" w:lineRule="auto"/>
            </w:pPr>
            <w:r>
              <w:rPr>
                <w:rFonts w:ascii="Calibri" w:hAnsi="Calibri"/>
                <w:b/>
                <w:i w:val="0"/>
                <w:color w:val="0B2545"/>
                <w:sz w:val="17"/>
              </w:rPr>
              <w:t>Expected outcome</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New freelancer</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Creates a profile, receives a registration-readiness checklist, confirms assumptions, and gets a personalized obligation calendar.</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Quarter close</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Imports records, resolves duplicates and missing certificates, receives a reproducible computation, and approves a review-ready draft.</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Low-confidence receipt</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The document agent highlights uncertain fields and blocks material classification until the user confirms them.</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Changed transaction</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 record already included in an approved draft cannot be silently edited; the system creates an adjustment workflow.</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Payment hand-off</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The user separately confirms tax type, period, and amount; eTaxPH remains pending until proof or an external confirmation is captured.</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i w:val="0"/>
                <w:color w:val="0B2545"/>
                <w:sz w:val="17"/>
              </w:rPr>
              <w:t>Changed rule</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A new rule version affects open obligations, leaves historical computations intact, and creates an impact-review task.</w:t>
            </w:r>
          </w:p>
        </w:tc>
      </w:tr>
      <w:tr>
        <w:trPr>
          <w:cantSplit/>
        </w:trPr>
        <w:tc>
          <w:tcPr>
            <w:tcW w:type="dxa" w:w="220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Unsupported question</w:t>
            </w:r>
          </w:p>
        </w:tc>
        <w:tc>
          <w:tcPr>
            <w:tcW w:type="dxa" w:w="7160"/>
            <w:tcMar>
              <w:top w:w="80" w:type="dxa"/>
              <w:start w:w="120" w:type="dxa"/>
              <w:bottom w:w="80" w:type="dxa"/>
              <w:end w:w="120" w:type="dxa"/>
            </w:tcMar>
            <w:vAlign w:val="center"/>
          </w:tcPr>
          <w:p>
            <w:pPr>
              <w:spacing w:before="20" w:after="20" w:line="252" w:lineRule="auto"/>
            </w:pPr>
            <w:r>
              <w:rPr>
                <w:rFonts w:ascii="Calibri" w:hAnsi="Calibri"/>
                <w:b w:val="0"/>
                <w:i w:val="0"/>
                <w:color w:val="0B2545"/>
                <w:sz w:val="17"/>
              </w:rPr>
              <w:t>The assistant says the issue is outside supported coverage, shows the available official source, and recommends professional review.</w:t>
            </w:r>
          </w:p>
        </w:tc>
      </w:tr>
    </w:tbl>
    <w:p>
      <w:pPr>
        <w:spacing w:after="0"/>
      </w:pPr>
    </w:p>
    <w:p>
      <w:pPr>
        <w:pStyle w:val="Heading1"/>
      </w:pPr>
      <w:r>
        <w:t>18. Orchestrator Instruction Baseline</w:t>
      </w:r>
    </w:p>
    <w:tbl>
      <w:tblPr>
        <w:tblW w:type="dxa" w:w="9360"/>
        <w:jc w:val="left"/>
        <w:tblLayout w:type="fixed"/>
        <w:tblLook w:firstColumn="1" w:firstRow="1" w:lastColumn="0" w:lastRow="0" w:noHBand="0" w:noVBand="1" w:val="04A0"/>
        <w:tblInd w:w="120" w:type="dxa"/>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9360"/>
      </w:tblGrid>
      <w:tr>
        <w:trPr>
          <w:cantSplit/>
        </w:trPr>
        <w:tc>
          <w:tcPr>
            <w:tcW w:type="dxa" w:w="9360"/>
            <w:tcMar>
              <w:top w:w="80" w:type="dxa"/>
              <w:start w:w="120" w:type="dxa"/>
              <w:bottom w:w="80" w:type="dxa"/>
              <w:end w:w="120" w:type="dxa"/>
            </w:tcMar>
            <w:vAlign w:val="center"/>
            <w:shd w:fill="F7F8FA"/>
          </w:tcPr>
          <w:p>
            <w:pPr>
              <w:spacing w:before="40" w:after="40" w:line="240" w:lineRule="auto"/>
            </w:pPr>
            <w:r>
              <w:rPr>
                <w:rFonts w:ascii="Courier New" w:hAnsi="Courier New"/>
                <w:b w:val="0"/>
                <w:i w:val="0"/>
                <w:color w:val="2B2F33"/>
                <w:sz w:val="16"/>
              </w:rPr>
              <w:t>You are the eTaxPH Orchestrator.</w:t>
            </w:r>
            <w:r>
              <w:br/>
            </w:r>
            <w:r>
              <w:rPr>
                <w:rFonts w:ascii="Courier New" w:hAnsi="Courier New"/>
                <w:b w:val="0"/>
                <w:i w:val="0"/>
                <w:color w:val="2B2F33"/>
                <w:sz w:val="16"/>
              </w:rPr>
            </w:r>
            <w:r>
              <w:br/>
            </w:r>
            <w:r>
              <w:rPr>
                <w:rFonts w:ascii="Courier New" w:hAnsi="Courier New"/>
                <w:b w:val="0"/>
                <w:i w:val="0"/>
                <w:color w:val="2B2F33"/>
                <w:sz w:val="16"/>
              </w:rPr>
              <w:t>Your job is to help the taxpayer know what to register, record, file, pay, and do next.</w:t>
            </w:r>
            <w:r>
              <w:br/>
            </w:r>
            <w:r>
              <w:rPr>
                <w:rFonts w:ascii="Courier New" w:hAnsi="Courier New"/>
                <w:b w:val="0"/>
                <w:i w:val="0"/>
                <w:color w:val="2B2F33"/>
                <w:sz w:val="16"/>
              </w:rPr>
            </w:r>
            <w:r>
              <w:br/>
            </w:r>
            <w:r>
              <w:rPr>
                <w:rFonts w:ascii="Courier New" w:hAnsi="Courier New"/>
                <w:b w:val="0"/>
                <w:i w:val="0"/>
                <w:color w:val="2B2F33"/>
                <w:sz w:val="16"/>
              </w:rPr>
              <w:t>1. Use only the active taxpayer profile, permitted records, approved tools, and effective rule set.</w:t>
            </w:r>
            <w:r>
              <w:br/>
            </w:r>
            <w:r>
              <w:rPr>
                <w:rFonts w:ascii="Courier New" w:hAnsi="Courier New"/>
                <w:b w:val="0"/>
                <w:i w:val="0"/>
                <w:color w:val="2B2F33"/>
                <w:sz w:val="16"/>
              </w:rPr>
              <w:t>2. Delegate extraction and classification to specialized agents, but use deterministic services for obligations, computations, deadlines, validations, and form mapping.</w:t>
            </w:r>
            <w:r>
              <w:br/>
            </w:r>
            <w:r>
              <w:rPr>
                <w:rFonts w:ascii="Courier New" w:hAnsi="Courier New"/>
                <w:b w:val="0"/>
                <w:i w:val="0"/>
                <w:color w:val="2B2F33"/>
                <w:sz w:val="16"/>
              </w:rPr>
              <w:t>3. State material assumptions and confidence. Do not invent missing facts.</w:t>
            </w:r>
            <w:r>
              <w:br/>
            </w:r>
            <w:r>
              <w:rPr>
                <w:rFonts w:ascii="Courier New" w:hAnsi="Courier New"/>
                <w:b w:val="0"/>
                <w:i w:val="0"/>
                <w:color w:val="2B2F33"/>
                <w:sz w:val="16"/>
              </w:rPr>
              <w:t>4. Cite the official authority and effective date for material tax guidance.</w:t>
            </w:r>
            <w:r>
              <w:br/>
            </w:r>
            <w:r>
              <w:rPr>
                <w:rFonts w:ascii="Courier New" w:hAnsi="Courier New"/>
                <w:b w:val="0"/>
                <w:i w:val="0"/>
                <w:color w:val="2B2F33"/>
                <w:sz w:val="16"/>
              </w:rPr>
              <w:t>5. Prepare reversible work proactively. Never file, pay, issue, cancel, amend, delete, or change the taxpayer profile without an explicit approval for the exact action.</w:t>
            </w:r>
            <w:r>
              <w:br/>
            </w:r>
            <w:r>
              <w:rPr>
                <w:rFonts w:ascii="Courier New" w:hAnsi="Courier New"/>
                <w:b w:val="0"/>
                <w:i w:val="0"/>
                <w:color w:val="2B2F33"/>
                <w:sz w:val="16"/>
              </w:rPr>
              <w:t>6. If evidence conflicts, rule coverage is missing, or an external outcome is unknown, stop downstream action and open an exception.</w:t>
            </w:r>
            <w:r>
              <w:br/>
            </w:r>
            <w:r>
              <w:rPr>
                <w:rFonts w:ascii="Courier New" w:hAnsi="Courier New"/>
                <w:b w:val="0"/>
                <w:i w:val="0"/>
                <w:color w:val="2B2F33"/>
                <w:sz w:val="16"/>
              </w:rPr>
              <w:t>7. Preserve originals, computation traces, approvals, acknowledgements, and audit history.</w:t>
            </w:r>
            <w:r>
              <w:br/>
            </w:r>
            <w:r>
              <w:rPr>
                <w:rFonts w:ascii="Courier New" w:hAnsi="Courier New"/>
                <w:b w:val="0"/>
                <w:i w:val="0"/>
                <w:color w:val="2B2F33"/>
                <w:sz w:val="16"/>
              </w:rPr>
              <w:t>8. Communicate in plain language. Clearly distinguish facts, estimates, assumptions, recommendations, and actions.</w:t>
            </w:r>
          </w:p>
        </w:tc>
      </w:tr>
    </w:tbl>
    <w:p>
      <w:pPr>
        <w:spacing w:after="0"/>
      </w:pPr>
    </w:p>
    <w:p>
      <w:pPr>
        <w:pStyle w:val="Heading1"/>
      </w:pPr>
      <w:r>
        <w:t>19. Official Source Baseline</w:t>
      </w:r>
    </w:p>
    <w:p>
      <w:pPr>
        <w:spacing w:before="0" w:after="120" w:line="264" w:lineRule="auto"/>
      </w:pPr>
      <w:r>
        <w:rPr>
          <w:rFonts w:ascii="Calibri" w:hAnsi="Calibri"/>
          <w:b w:val="0"/>
          <w:i w:val="0"/>
          <w:color w:val="0B2545"/>
          <w:sz w:val="22"/>
        </w:rPr>
        <w:t>The following sources ground the initial architecture and must be revalidated before implementation or release. eTaxPH's production rule registry should store the exact official document, effective date, coverage, and approval record rather than relying on this summary.</w:t>
      </w:r>
    </w:p>
    <w:p>
      <w:pPr>
        <w:numPr>
          <w:ilvl w:val="0"/>
          <w:numId w:val="80"/>
        </w:numPr>
      </w:pPr>
      <w:hyperlink r:id="rId11">
        <w:r>
          <w:rPr>
            <w:rFonts w:ascii="Calibri" w:hAnsi="Calibri"/>
            <w:color w:val="2E74B5"/>
            <w:u w:val="single"/>
            <w:sz w:val="20"/>
          </w:rPr>
          <w:t>BIR Online Registration and Update System (ORUS)</w:t>
        </w:r>
      </w:hyperlink>
    </w:p>
    <w:p>
      <w:pPr>
        <w:numPr>
          <w:ilvl w:val="0"/>
          <w:numId w:val="80"/>
        </w:numPr>
      </w:pPr>
      <w:hyperlink r:id="rId12">
        <w:r>
          <w:rPr>
            <w:rFonts w:ascii="Calibri" w:hAnsi="Calibri"/>
            <w:color w:val="2E74B5"/>
            <w:u w:val="single"/>
            <w:sz w:val="20"/>
          </w:rPr>
          <w:t>BIR Electronic Bureau of Internal Revenue Forms (eBIRForms)</w:t>
        </w:r>
      </w:hyperlink>
    </w:p>
    <w:p>
      <w:pPr>
        <w:numPr>
          <w:ilvl w:val="0"/>
          <w:numId w:val="80"/>
        </w:numPr>
      </w:pPr>
      <w:hyperlink r:id="rId13">
        <w:r>
          <w:rPr>
            <w:rFonts w:ascii="Calibri" w:hAnsi="Calibri"/>
            <w:color w:val="2E74B5"/>
            <w:u w:val="single"/>
            <w:sz w:val="20"/>
          </w:rPr>
          <w:t>BIR ePayment channels</w:t>
        </w:r>
      </w:hyperlink>
    </w:p>
    <w:p>
      <w:pPr>
        <w:numPr>
          <w:ilvl w:val="0"/>
          <w:numId w:val="80"/>
        </w:numPr>
      </w:pPr>
      <w:hyperlink r:id="rId14">
        <w:r>
          <w:rPr>
            <w:rFonts w:ascii="Calibri" w:hAnsi="Calibri"/>
            <w:color w:val="2E74B5"/>
            <w:u w:val="single"/>
            <w:sz w:val="20"/>
          </w:rPr>
          <w:t>BIR Forms catalog</w:t>
        </w:r>
      </w:hyperlink>
    </w:p>
    <w:p>
      <w:pPr>
        <w:numPr>
          <w:ilvl w:val="0"/>
          <w:numId w:val="80"/>
        </w:numPr>
      </w:pPr>
      <w:hyperlink r:id="rId15">
        <w:r>
          <w:rPr>
            <w:rFonts w:ascii="Calibri" w:hAnsi="Calibri"/>
            <w:color w:val="2E74B5"/>
            <w:u w:val="single"/>
            <w:sz w:val="20"/>
          </w:rPr>
          <w:t>BIR Tax Reminder calendar</w:t>
        </w:r>
      </w:hyperlink>
    </w:p>
    <w:p>
      <w:pPr>
        <w:numPr>
          <w:ilvl w:val="0"/>
          <w:numId w:val="80"/>
        </w:numPr>
      </w:pPr>
      <w:hyperlink r:id="rId16">
        <w:r>
          <w:rPr>
            <w:rFonts w:ascii="Calibri" w:hAnsi="Calibri"/>
            <w:color w:val="2E74B5"/>
            <w:u w:val="single"/>
            <w:sz w:val="20"/>
          </w:rPr>
          <w:t>BIR Form No. 1901, October 2025 ENCS</w:t>
        </w:r>
      </w:hyperlink>
    </w:p>
    <w:p>
      <w:pPr>
        <w:numPr>
          <w:ilvl w:val="0"/>
          <w:numId w:val="80"/>
        </w:numPr>
      </w:pPr>
      <w:hyperlink r:id="rId17">
        <w:r>
          <w:rPr>
            <w:rFonts w:ascii="Calibri" w:hAnsi="Calibri"/>
            <w:color w:val="2E74B5"/>
            <w:u w:val="single"/>
            <w:sz w:val="20"/>
          </w:rPr>
          <w:t>BIR Form No. 1701-MS instructions, RMC No. 34-2025 Annex A</w:t>
        </w:r>
      </w:hyperlink>
    </w:p>
    <w:p>
      <w:pPr>
        <w:numPr>
          <w:ilvl w:val="0"/>
          <w:numId w:val="80"/>
        </w:numPr>
      </w:pPr>
      <w:hyperlink r:id="rId18">
        <w:r>
          <w:rPr>
            <w:rFonts w:ascii="Calibri" w:hAnsi="Calibri"/>
            <w:color w:val="2E74B5"/>
            <w:u w:val="single"/>
            <w:sz w:val="20"/>
          </w:rPr>
          <w:t>Republic Act No. 10173 - Data Privacy Act of 2012</w:t>
        </w:r>
      </w:hyperlink>
    </w:p>
    <w:p>
      <w:pPr>
        <w:numPr>
          <w:ilvl w:val="0"/>
          <w:numId w:val="80"/>
        </w:numPr>
      </w:pPr>
      <w:hyperlink r:id="rId19">
        <w:r>
          <w:rPr>
            <w:rFonts w:ascii="Calibri" w:hAnsi="Calibri"/>
            <w:color w:val="2E74B5"/>
            <w:u w:val="single"/>
            <w:sz w:val="20"/>
          </w:rPr>
          <w:t>NPC Circulars on security of personal data</w:t>
        </w:r>
      </w:hyperlink>
    </w:p>
    <w:p>
      <w:pPr>
        <w:pStyle w:val="Heading1"/>
      </w:pPr>
      <w:r>
        <w:t>20. Product Decision Summary</w:t>
      </w:r>
    </w:p>
    <w:tbl>
      <w:tblPr>
        <w:tblW w:type="dxa" w:w="9360"/>
        <w:jc w:val="left"/>
        <w:tblLayout w:type="fixed"/>
        <w:tblLook w:firstColumn="1" w:firstRow="1" w:lastColumn="0" w:lastRow="0" w:noHBand="0" w:noVBand="1" w:val="04A0"/>
        <w:tblInd w:w="120" w:type="dxa"/>
        <w:tblBorders>
          <w:top w:val="single" w:sz="0" w:space="0" w:color="E8F5EE"/>
          <w:left w:val="single" w:sz="0" w:space="0" w:color="E8F5EE"/>
          <w:bottom w:val="single" w:sz="0" w:space="0" w:color="E8F5EE"/>
          <w:right w:val="single" w:sz="0" w:space="0" w:color="E8F5EE"/>
          <w:insideH w:val="single" w:sz="0" w:space="0" w:color="E8F5EE"/>
          <w:insideV w:val="single" w:sz="0" w:space="0" w:color="E8F5EE"/>
        </w:tblBorders>
      </w:tblPr>
      <w:tblGrid>
        <w:gridCol w:w="9360"/>
      </w:tblGrid>
      <w:tr>
        <w:trPr>
          <w:cantSplit/>
        </w:trPr>
        <w:tc>
          <w:tcPr>
            <w:tcW w:type="dxa" w:w="9360"/>
            <w:tcMar>
              <w:top w:w="80" w:type="dxa"/>
              <w:start w:w="120" w:type="dxa"/>
              <w:bottom w:w="80" w:type="dxa"/>
              <w:end w:w="120" w:type="dxa"/>
            </w:tcMar>
            <w:vAlign w:val="center"/>
            <w:shd w:fill="E8F5EE"/>
          </w:tcPr>
          <w:p>
            <w:pPr>
              <w:spacing w:before="40" w:after="40" w:line="264" w:lineRule="auto"/>
            </w:pPr>
            <w:r>
              <w:rPr>
                <w:rFonts w:ascii="Calibri" w:hAnsi="Calibri"/>
                <w:b/>
                <w:i w:val="0"/>
                <w:color w:val="1F4D78"/>
                <w:sz w:val="22"/>
              </w:rPr>
              <w:t xml:space="preserve">Decision: </w:t>
            </w:r>
            <w:r>
              <w:rPr>
                <w:rFonts w:ascii="Calibri" w:hAnsi="Calibri"/>
                <w:b w:val="0"/>
                <w:i w:val="0"/>
                <w:color w:val="0B2545"/>
                <w:sz w:val="22"/>
              </w:rPr>
              <w:t>Build eTaxPH as a controlled agentic system: proactive in observing, interpreting, preparing, recommending, and verifying; conservative at the moment of filing, payment, registration change, and other irreversible actions. Launch with a narrow non-VAT self-employed profile, a deterministic tax core, official-source governance, and an assisted BIR hand-off. Expand autonomy only when integration authority, evidence, and operational controls are proven.</w:t>
            </w:r>
          </w:p>
        </w:tc>
      </w:tr>
    </w:tbl>
    <w:p>
      <w:pPr>
        <w:spacing w:after="0"/>
      </w:pPr>
    </w:p>
    <w:p>
      <w:pPr>
        <w:spacing w:before="0" w:after="0" w:line="264" w:lineRule="auto"/>
      </w:pPr>
      <w:r>
        <w:rPr>
          <w:rFonts w:ascii="Calibri" w:hAnsi="Calibri"/>
          <w:b w:val="0"/>
          <w:i/>
          <w:color w:val="0B2545"/>
          <w:sz w:val="22"/>
        </w:rPr>
        <w:t>This specification is a product and technical design baseline, not legal or tax advice. Production rules, forms, deadlines, invoice requirements, privacy controls, and integrations require validation by qualified Philippine tax, legal, privacy, and security professionals.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200"/>
      <w:gridCol w:w="2160"/>
    </w:tblGrid>
    <w:tr>
      <w:trPr>
        <w:cantSplit/>
      </w:trPr>
      <w:tc>
        <w:tcPr>
          <w:tcW w:type="dxa" w:w="7200"/>
          <w:tcMar>
            <w:top w:w="80" w:type="dxa"/>
            <w:start w:w="120" w:type="dxa"/>
            <w:bottom w:w="80" w:type="dxa"/>
            <w:end w:w="120" w:type="dxa"/>
          </w:tcMar>
          <w:vAlign w:val="center"/>
        </w:tcPr>
        <w:p>
          <w:pPr>
            <w:spacing w:after="0"/>
          </w:pPr>
          <w:r>
            <w:rPr>
              <w:rFonts w:ascii="Calibri" w:hAnsi="Calibri"/>
              <w:b w:val="0"/>
              <w:i w:val="0"/>
              <w:color w:val="5B6573"/>
              <w:sz w:val="18"/>
            </w:rPr>
            <w:t>Draft v1.0  |  26 July 2026</w:t>
          </w:r>
        </w:p>
      </w:tc>
      <w:tc>
        <w:tcPr>
          <w:tcW w:type="dxa" w:w="2160"/>
          <w:tcMar>
            <w:top w:w="80" w:type="dxa"/>
            <w:start w:w="120" w:type="dxa"/>
            <w:bottom w:w="80" w:type="dxa"/>
            <w:end w:w="120" w:type="dxa"/>
          </w:tcMar>
          <w:vAlign w:val="center"/>
        </w:tcPr>
        <w:p>
          <w:pPr>
            <w:spacing w:after="0"/>
            <w:jc w:val="right"/>
          </w:pPr>
          <w:r>
            <w:rPr>
              <w:rFonts w:ascii="Calibri" w:hAnsi="Calibri"/>
              <w:b w:val="0"/>
              <w:i w:val="0"/>
              <w:color w:val="5B6573"/>
              <w:sz w:val="18"/>
            </w:rPr>
            <w:t xml:space="preserve">Page </w:t>
          </w:r>
          <w:r>
            <w:rPr>
              <w:rFonts w:ascii="Calibri" w:hAnsi="Calibri"/>
              <w:b w:val="0"/>
              <w:i w:val="0"/>
              <w:color w:val="5B6573"/>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B6573"/>
        <w:sz w:val="18"/>
      </w:rPr>
      <w:t>eTaxPH  |  Agentic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80">
    <w:abstractNumId w:val="80"/>
  </w:num>
  <w:abstractNum w:abstractNumId="8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81">
    <w:abstractNumId w:val="81"/>
  </w:num>
  <w:num w:numId="82">
    <w:abstractNumId w:val="81"/>
    <w:lvlOverride w:ilvl="0">
      <w:startOverride w:val="1"/>
    </w:lvlOverride>
  </w:num>
  <w:num w:numId="83">
    <w:abstractNumId w:val="81"/>
    <w:lvlOverride w:ilvl="0">
      <w:startOverride w:val="1"/>
    </w:lvlOverride>
  </w:num>
  <w:num w:numId="84">
    <w:abstractNumId w:val="8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r.gov.ph/BIRCC-RDO-External-Service-09" TargetMode="External"/><Relationship Id="rId12" Type="http://schemas.openxmlformats.org/officeDocument/2006/relationships/hyperlink" Target="https://www.bir.gov.ph/ebirforms" TargetMode="External"/><Relationship Id="rId13" Type="http://schemas.openxmlformats.org/officeDocument/2006/relationships/hyperlink" Target="https://www.bir.gov.ph/ePay" TargetMode="External"/><Relationship Id="rId14" Type="http://schemas.openxmlformats.org/officeDocument/2006/relationships/hyperlink" Target="https://www.bir.gov.ph/bir-forms" TargetMode="External"/><Relationship Id="rId15" Type="http://schemas.openxmlformats.org/officeDocument/2006/relationships/hyperlink" Target="https://www.bir.gov.ph/tax-reminder" TargetMode="External"/><Relationship Id="rId16" Type="http://schemas.openxmlformats.org/officeDocument/2006/relationships/hyperlink" Target="https://bir-cdn.bir.gov.ph/BIR/pdf/1901%20October%202025%20ENCS%20Final.pdf" TargetMode="External"/><Relationship Id="rId17" Type="http://schemas.openxmlformats.org/officeDocument/2006/relationships/hyperlink" Target="https://bir-cdn.bir.gov.ph/BIR/pdf/RMC%20No.%2034-2025%20Annex%20A.pdf" TargetMode="External"/><Relationship Id="rId18" Type="http://schemas.openxmlformats.org/officeDocument/2006/relationships/hyperlink" Target="https://privacy.gov.ph/data-privacy-act/" TargetMode="External"/><Relationship Id="rId19" Type="http://schemas.openxmlformats.org/officeDocument/2006/relationships/hyperlink" Target="https://privacy.gov.ph/npc-issues-circulars-to-strengthen-personal-data-protection-in-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eTaxPH Agentic Product Architecture and Feature Specification</dc:title>
  <dc:subject>Product requirements, agent architecture, functional scope, safety controls, and implementation roadmap</dc:subject>
  <dc:creator>eTaxPH Product Team</dc:creator>
  <cp:keywords>eTaxPH, Philippines, tax, agentic AI, product requirements,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