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11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7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SR4</w:t>
            </w:r>
            <w:r>
              <w:rPr>
                <w:sz w:val="15"/>
                <w:szCs w:val="15"/>
              </w:rPr>
              <w:t xml:space="preserve"> not held;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 and accepted the figures as delivered; his corrections are recorded and not applied (section 12 of the model notes).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reviewed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.bpmn + YAML + PDF 16 pp + PDF 8 pp. In place; review by Ender,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Ryan reviewed 20 October 2026; corrections recorded and not applied.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confirmed and reviewed, both 20 October 2026.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B-6: reviewed 20 October 2026; four files have no recorded author.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>The formal change path, DNA to Finance, urgent authorisation, refund adjustment and letter escalation are modelled but no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>The contribution record holds E-001 to E-053; its second-owner review and the Definition of Done are unsigned.</w:t>
      </w:r>
      <w:r/>
      <w:r>
        <w:rPr>
          <w:rStyle w:val="VerbatimChar"/>
        </w:rPr>
      </w:r>
      <w:r/>
      <w:r/>
      <w:r/>
      <w:r>
        <w:rPr>
          <w:rStyle w:val="VerbatimChar"/>
        </w:rPr>
      </w:r>
      <w:r/>
      <w:r/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