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8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reviews; SR3 read back from the increment and SR4 recorded at the 20 October session;</w:t>
            </w:r>
            <w:r>
              <w:rPr>
                <w:sz w:val="15"/>
                <w:szCs w:val="15"/>
              </w:rPr>
              <w:t xml:space="preserve">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corrected and figure re-exported, Finance labels left as drawn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Admin links, Finance labels and figure all settled.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