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FAB9" w14:textId="77777777" w:rsidR="00997994" w:rsidRPr="005D280D" w:rsidRDefault="00000000">
      <w:pPr>
        <w:jc w:val="center"/>
        <w:rPr>
          <w:sz w:val="20"/>
          <w:szCs w:val="21"/>
        </w:rPr>
      </w:pPr>
      <w:r w:rsidRPr="005D280D">
        <w:rPr>
          <w:b/>
          <w:sz w:val="28"/>
          <w:szCs w:val="21"/>
        </w:rPr>
        <w:t>BPM&amp;EA Contribution Matrix</w:t>
      </w:r>
    </w:p>
    <w:p w14:paraId="6E322B80" w14:textId="77777777" w:rsidR="00997994" w:rsidRPr="005D280D" w:rsidRDefault="00000000">
      <w:pPr>
        <w:rPr>
          <w:sz w:val="20"/>
          <w:szCs w:val="21"/>
        </w:rPr>
      </w:pPr>
      <w:r w:rsidRPr="005D280D">
        <w:rPr>
          <w:sz w:val="20"/>
          <w:szCs w:val="21"/>
        </w:rPr>
        <w:t>Project: Hospital Pathway — Camunda 8 hospital process automation (BPM&amp;EA group submission)</w:t>
      </w:r>
    </w:p>
    <w:p w14:paraId="5F8F9217" w14:textId="77777777" w:rsidR="005D280D" w:rsidRPr="005D280D" w:rsidRDefault="00000000">
      <w:pPr>
        <w:rPr>
          <w:sz w:val="20"/>
          <w:szCs w:val="21"/>
          <w:lang w:eastAsia="zh-CN"/>
        </w:rPr>
      </w:pPr>
      <w:r w:rsidRPr="005D280D">
        <w:rPr>
          <w:sz w:val="20"/>
          <w:szCs w:val="21"/>
        </w:rPr>
        <w:t>Model: W02_Hospital_All_Processes_Clean_Lines_Camunda8.bpmn (merged executable model, 10 external workers, 4 participant pools, 3 lanes, 28 exclusive gateways)</w:t>
      </w:r>
    </w:p>
    <w:p w14:paraId="5CB6136A" w14:textId="6BC42A17" w:rsidR="00997994" w:rsidRPr="005D280D" w:rsidRDefault="00000000">
      <w:pPr>
        <w:rPr>
          <w:sz w:val="20"/>
          <w:szCs w:val="21"/>
        </w:rPr>
      </w:pPr>
      <w:r w:rsidRPr="005D280D">
        <w:rPr>
          <w:sz w:val="20"/>
          <w:szCs w:val="21"/>
        </w:rPr>
        <w:t xml:space="preserve">The merged model is a joint deliverable of the whole group; the table below splits contributions by each member's </w:t>
      </w:r>
      <w:proofErr w:type="gramStart"/>
      <w:r w:rsidRPr="005D280D">
        <w:rPr>
          <w:sz w:val="20"/>
          <w:szCs w:val="21"/>
        </w:rPr>
        <w:t>independently-owned</w:t>
      </w:r>
      <w:proofErr w:type="gramEnd"/>
      <w:r w:rsidRPr="005D280D">
        <w:rPr>
          <w:sz w:val="20"/>
          <w:szCs w:val="21"/>
        </w:rPr>
        <w:t xml:space="preserve"> Worker class and documents.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92"/>
        <w:gridCol w:w="1059"/>
        <w:gridCol w:w="1701"/>
        <w:gridCol w:w="2410"/>
        <w:gridCol w:w="1843"/>
        <w:gridCol w:w="951"/>
      </w:tblGrid>
      <w:tr w:rsidR="00997994" w:rsidRPr="005D280D" w14:paraId="263D2229" w14:textId="77777777" w:rsidTr="005D280D">
        <w:tc>
          <w:tcPr>
            <w:tcW w:w="892" w:type="dxa"/>
          </w:tcPr>
          <w:p w14:paraId="5013B8DA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Member</w:t>
            </w:r>
          </w:p>
        </w:tc>
        <w:tc>
          <w:tcPr>
            <w:tcW w:w="1059" w:type="dxa"/>
          </w:tcPr>
          <w:p w14:paraId="1FA759E4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Role / Worker class</w:t>
            </w:r>
          </w:p>
        </w:tc>
        <w:tc>
          <w:tcPr>
            <w:tcW w:w="1701" w:type="dxa"/>
          </w:tcPr>
          <w:p w14:paraId="7230395F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Owned Workers (task types)</w:t>
            </w:r>
          </w:p>
        </w:tc>
        <w:tc>
          <w:tcPr>
            <w:tcW w:w="2410" w:type="dxa"/>
          </w:tcPr>
          <w:p w14:paraId="3F15DE88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Core responsibilities</w:t>
            </w:r>
          </w:p>
        </w:tc>
        <w:tc>
          <w:tcPr>
            <w:tcW w:w="1843" w:type="dxa"/>
          </w:tcPr>
          <w:p w14:paraId="4506EC56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Key deliverables</w:t>
            </w:r>
          </w:p>
        </w:tc>
        <w:tc>
          <w:tcPr>
            <w:tcW w:w="951" w:type="dxa"/>
          </w:tcPr>
          <w:p w14:paraId="35A56C6B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Contribution %</w:t>
            </w:r>
          </w:p>
        </w:tc>
      </w:tr>
      <w:tr w:rsidR="00997994" w:rsidRPr="005D280D" w14:paraId="573EEECC" w14:textId="77777777" w:rsidTr="005D280D">
        <w:tc>
          <w:tcPr>
            <w:tcW w:w="892" w:type="dxa"/>
          </w:tcPr>
          <w:p w14:paraId="125437D8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A (Ruby)</w:t>
            </w:r>
          </w:p>
        </w:tc>
        <w:tc>
          <w:tcPr>
            <w:tcW w:w="1059" w:type="dxa"/>
          </w:tcPr>
          <w:p w14:paraId="43EF0EBE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RefundWorkers</w:t>
            </w:r>
          </w:p>
        </w:tc>
        <w:tc>
          <w:tcPr>
            <w:tcW w:w="1701" w:type="dxa"/>
          </w:tcPr>
          <w:p w14:paraId="45156E7B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request-refund</w:t>
            </w:r>
            <w:r w:rsidRPr="005D280D">
              <w:rPr>
                <w:sz w:val="18"/>
                <w:szCs w:val="21"/>
              </w:rPr>
              <w:br/>
              <w:t>mark-payment-investigate</w:t>
            </w:r>
          </w:p>
        </w:tc>
        <w:tc>
          <w:tcPr>
            <w:tcW w:w="2410" w:type="dxa"/>
          </w:tcPr>
          <w:p w14:paraId="623C4E41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Refund process and payment exception investigation; led the team acceptance test plan (S1–S10).</w:t>
            </w:r>
          </w:p>
        </w:tc>
        <w:tc>
          <w:tcPr>
            <w:tcW w:w="1843" w:type="dxa"/>
          </w:tcPr>
          <w:p w14:paraId="3E931132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RefundWorkers.java; acceptance test plan (bilingual PDF, covers AISD-2)</w:t>
            </w:r>
          </w:p>
        </w:tc>
        <w:tc>
          <w:tcPr>
            <w:tcW w:w="951" w:type="dxa"/>
          </w:tcPr>
          <w:p w14:paraId="2B076F20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30%</w:t>
            </w:r>
          </w:p>
        </w:tc>
      </w:tr>
      <w:tr w:rsidR="00997994" w:rsidRPr="005D280D" w14:paraId="59F3DF54" w14:textId="77777777" w:rsidTr="005D280D">
        <w:tc>
          <w:tcPr>
            <w:tcW w:w="892" w:type="dxa"/>
          </w:tcPr>
          <w:p w14:paraId="245BEF96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B (Est)</w:t>
            </w:r>
          </w:p>
        </w:tc>
        <w:tc>
          <w:tcPr>
            <w:tcW w:w="1059" w:type="dxa"/>
          </w:tcPr>
          <w:p w14:paraId="76032169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BookingWorkers</w:t>
            </w:r>
          </w:p>
        </w:tc>
        <w:tc>
          <w:tcPr>
            <w:tcW w:w="1701" w:type="dxa"/>
          </w:tcPr>
          <w:p w14:paraId="7125A3C4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check-slot</w:t>
            </w:r>
            <w:r w:rsidRPr="005D280D">
              <w:rPr>
                <w:sz w:val="18"/>
                <w:szCs w:val="21"/>
              </w:rPr>
              <w:br/>
              <w:t>reserve-appointment</w:t>
            </w:r>
            <w:r w:rsidRPr="005D280D">
              <w:rPr>
                <w:sz w:val="18"/>
                <w:szCs w:val="21"/>
              </w:rPr>
              <w:br/>
              <w:t>flag-resource-unavailable</w:t>
            </w:r>
          </w:p>
        </w:tc>
        <w:tc>
          <w:tcPr>
            <w:tcW w:w="2410" w:type="dxa"/>
          </w:tcPr>
          <w:p w14:paraId="4C088253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Appointment / scheduling / resource allocation process; activity design and records for the five treatment-booking-and-payment paths.</w:t>
            </w:r>
          </w:p>
        </w:tc>
        <w:tc>
          <w:tcPr>
            <w:tcW w:w="1843" w:type="dxa"/>
          </w:tcPr>
          <w:p w14:paraId="7D7C882F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BookingWorkers.java; treatment-booking-and-payment activity design / five-path records</w:t>
            </w:r>
          </w:p>
        </w:tc>
        <w:tc>
          <w:tcPr>
            <w:tcW w:w="951" w:type="dxa"/>
          </w:tcPr>
          <w:p w14:paraId="2D8171B4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24%</w:t>
            </w:r>
          </w:p>
        </w:tc>
      </w:tr>
      <w:tr w:rsidR="00997994" w:rsidRPr="005D280D" w14:paraId="0F88838A" w14:textId="77777777" w:rsidTr="005D280D">
        <w:tc>
          <w:tcPr>
            <w:tcW w:w="892" w:type="dxa"/>
          </w:tcPr>
          <w:p w14:paraId="7BCB8AA7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C (Ender)</w:t>
            </w:r>
          </w:p>
        </w:tc>
        <w:tc>
          <w:tcPr>
            <w:tcW w:w="1059" w:type="dxa"/>
          </w:tcPr>
          <w:p w14:paraId="4A933383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LetterWorkers</w:t>
            </w:r>
          </w:p>
        </w:tc>
        <w:tc>
          <w:tcPr>
            <w:tcW w:w="1701" w:type="dxa"/>
          </w:tcPr>
          <w:p w14:paraId="0C2BF266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dispatch-clinic-letter</w:t>
            </w:r>
            <w:r w:rsidRPr="005D280D">
              <w:rPr>
                <w:sz w:val="18"/>
                <w:szCs w:val="21"/>
              </w:rPr>
              <w:br/>
              <w:t>notify-referrer</w:t>
            </w:r>
          </w:p>
        </w:tc>
        <w:tc>
          <w:tcPr>
            <w:tcW w:w="2410" w:type="dxa"/>
          </w:tcPr>
          <w:p w14:paraId="0CFEE350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Clinical letter dispatch and referrer notification; external worker and domain database notes.</w:t>
            </w:r>
          </w:p>
        </w:tc>
        <w:tc>
          <w:tcPr>
            <w:tcW w:w="1843" w:type="dxa"/>
          </w:tcPr>
          <w:p w14:paraId="296326A4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LetterWorkers.java; C_external-worker-and-database notes.md; AISD-3 Justification of Decisions</w:t>
            </w:r>
          </w:p>
        </w:tc>
        <w:tc>
          <w:tcPr>
            <w:tcW w:w="951" w:type="dxa"/>
          </w:tcPr>
          <w:p w14:paraId="5BCE2C5B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24%</w:t>
            </w:r>
          </w:p>
        </w:tc>
      </w:tr>
      <w:tr w:rsidR="00997994" w:rsidRPr="005D280D" w14:paraId="1DA72B9B" w14:textId="77777777" w:rsidTr="005D280D">
        <w:tc>
          <w:tcPr>
            <w:tcW w:w="892" w:type="dxa"/>
          </w:tcPr>
          <w:p w14:paraId="032B0EDE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D (Ryan)</w:t>
            </w:r>
          </w:p>
        </w:tc>
        <w:tc>
          <w:tcPr>
            <w:tcW w:w="1059" w:type="dxa"/>
          </w:tcPr>
          <w:p w14:paraId="25E603F0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CareChangeWorkers</w:t>
            </w:r>
          </w:p>
        </w:tc>
        <w:tc>
          <w:tcPr>
            <w:tcW w:w="1701" w:type="dxa"/>
          </w:tcPr>
          <w:p w14:paraId="0431C4E4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notify-care-change</w:t>
            </w:r>
          </w:p>
        </w:tc>
        <w:tc>
          <w:tcPr>
            <w:tcW w:w="2410" w:type="dxa"/>
          </w:tcPr>
          <w:p w14:paraId="045B19E0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Care-change notification process; external worker and domain database notes.</w:t>
            </w:r>
          </w:p>
        </w:tc>
        <w:tc>
          <w:tcPr>
            <w:tcW w:w="1843" w:type="dxa"/>
          </w:tcPr>
          <w:p w14:paraId="35FC5EF2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sz w:val="18"/>
                <w:szCs w:val="21"/>
              </w:rPr>
              <w:t>CareChangeWorkers.java; D_external-worker-and-database notes.md</w:t>
            </w:r>
          </w:p>
        </w:tc>
        <w:tc>
          <w:tcPr>
            <w:tcW w:w="951" w:type="dxa"/>
          </w:tcPr>
          <w:p w14:paraId="2DD34913" w14:textId="77777777" w:rsidR="00997994" w:rsidRPr="005D280D" w:rsidRDefault="00000000">
            <w:pPr>
              <w:rPr>
                <w:sz w:val="20"/>
                <w:szCs w:val="21"/>
              </w:rPr>
            </w:pPr>
            <w:r w:rsidRPr="005D280D">
              <w:rPr>
                <w:b/>
                <w:sz w:val="18"/>
                <w:szCs w:val="21"/>
              </w:rPr>
              <w:t>22%</w:t>
            </w:r>
          </w:p>
        </w:tc>
      </w:tr>
    </w:tbl>
    <w:p w14:paraId="2384978A" w14:textId="77777777" w:rsidR="00997994" w:rsidRDefault="00997994">
      <w:pPr>
        <w:rPr>
          <w:rFonts w:hint="eastAsia"/>
          <w:lang w:eastAsia="zh-CN"/>
        </w:rPr>
      </w:pPr>
    </w:p>
    <w:sectPr w:rsidR="009979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D26A5" w14:textId="77777777" w:rsidR="00CA5B45" w:rsidRDefault="00CA5B45" w:rsidP="005D280D">
      <w:pPr>
        <w:spacing w:after="0" w:line="240" w:lineRule="auto"/>
      </w:pPr>
      <w:r>
        <w:separator/>
      </w:r>
    </w:p>
  </w:endnote>
  <w:endnote w:type="continuationSeparator" w:id="0">
    <w:p w14:paraId="546C521E" w14:textId="77777777" w:rsidR="00CA5B45" w:rsidRDefault="00CA5B45" w:rsidP="005D2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B1C65" w14:textId="77777777" w:rsidR="00CA5B45" w:rsidRDefault="00CA5B45" w:rsidP="005D280D">
      <w:pPr>
        <w:spacing w:after="0" w:line="240" w:lineRule="auto"/>
      </w:pPr>
      <w:r>
        <w:separator/>
      </w:r>
    </w:p>
  </w:footnote>
  <w:footnote w:type="continuationSeparator" w:id="0">
    <w:p w14:paraId="1B6B650A" w14:textId="77777777" w:rsidR="00CA5B45" w:rsidRDefault="00CA5B45" w:rsidP="005D2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744445">
    <w:abstractNumId w:val="8"/>
  </w:num>
  <w:num w:numId="2" w16cid:durableId="1013802578">
    <w:abstractNumId w:val="6"/>
  </w:num>
  <w:num w:numId="3" w16cid:durableId="611713426">
    <w:abstractNumId w:val="5"/>
  </w:num>
  <w:num w:numId="4" w16cid:durableId="278880503">
    <w:abstractNumId w:val="4"/>
  </w:num>
  <w:num w:numId="5" w16cid:durableId="389771398">
    <w:abstractNumId w:val="7"/>
  </w:num>
  <w:num w:numId="6" w16cid:durableId="1994522852">
    <w:abstractNumId w:val="3"/>
  </w:num>
  <w:num w:numId="7" w16cid:durableId="1641809739">
    <w:abstractNumId w:val="2"/>
  </w:num>
  <w:num w:numId="8" w16cid:durableId="1078289512">
    <w:abstractNumId w:val="1"/>
  </w:num>
  <w:num w:numId="9" w16cid:durableId="112600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80D"/>
    <w:rsid w:val="00706121"/>
    <w:rsid w:val="00997994"/>
    <w:rsid w:val="00AA1D8D"/>
    <w:rsid w:val="00B47730"/>
    <w:rsid w:val="00CA5B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05C757"/>
  <w14:defaultImageDpi w14:val="300"/>
  <w15:docId w15:val="{E82EE45E-BC60-45DC-9912-9F18C4CF1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Luffy D</cp:lastModifiedBy>
  <cp:revision>2</cp:revision>
  <dcterms:created xsi:type="dcterms:W3CDTF">2013-12-23T23:15:00Z</dcterms:created>
  <dcterms:modified xsi:type="dcterms:W3CDTF">2026-09-29T13:15:00Z</dcterms:modified>
  <cp:category/>
</cp:coreProperties>
</file>