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543F5" w:rsidP="3AC16587" w:rsidRDefault="005543F5" w14:paraId="6BBE27D1" w14:textId="3E7DC3F0">
      <w:pPr>
        <w:pStyle w:val="Heading1"/>
        <w:rPr>
          <w:noProof w:val="0"/>
          <w:lang w:val="en-GB"/>
        </w:rPr>
      </w:pPr>
      <w:r w:rsidR="005543F5">
        <w:rPr/>
        <w:t xml:space="preserve">TUTORIAL </w:t>
      </w:r>
      <w:r w:rsidR="7E73576A">
        <w:rPr/>
        <w:t xml:space="preserve">- </w:t>
      </w:r>
      <w:r w:rsidRPr="3AC16587" w:rsidR="7E73576A">
        <w:rPr>
          <w:rFonts w:ascii="Calibri Light" w:hAnsi="Calibri Light" w:eastAsia="" w:cs="" w:asciiTheme="majorAscii" w:hAnsiTheme="majorAscii" w:eastAsiaTheme="majorEastAsia" w:cstheme="majorBidi"/>
          <w:noProof w:val="0"/>
          <w:color w:val="2F5496" w:themeColor="accent1" w:themeTint="FF" w:themeShade="BF"/>
          <w:sz w:val="32"/>
          <w:szCs w:val="32"/>
          <w:lang w:val="en-GB" w:eastAsia="en-US" w:bidi="ar-SA"/>
        </w:rPr>
        <w:t>Business Process Modelling and Enterprise Architecture &amp; Advance Information System Development</w:t>
      </w:r>
    </w:p>
    <w:p w:rsidR="005543F5" w:rsidP="00AD412B" w:rsidRDefault="005543F5" w14:paraId="681FFDE5" w14:textId="77950338">
      <w:pPr>
        <w:pStyle w:val="Heading1"/>
      </w:pPr>
      <w:r w:rsidR="005543F5">
        <w:rPr/>
        <w:t>Introduction</w:t>
      </w:r>
      <w:r w:rsidR="262DE032">
        <w:rPr/>
        <w:t xml:space="preserve"> to Business Process Modelling </w:t>
      </w:r>
      <w:r w:rsidR="005543F5">
        <w:rPr/>
        <w:t xml:space="preserve"> </w:t>
      </w:r>
    </w:p>
    <w:p w:rsidR="005543F5" w:rsidP="3AC16587" w:rsidRDefault="005543F5" w14:paraId="48E207A0" w14:textId="26A206E6">
      <w:pPr>
        <w:pStyle w:val="NormalWeb"/>
        <w:suppressLineNumbers w:val="0"/>
        <w:bidi w:val="0"/>
        <w:spacing w:beforeAutospacing="on" w:afterAutospacing="on" w:line="259" w:lineRule="auto"/>
        <w:ind w:left="0" w:right="0"/>
        <w:jc w:val="left"/>
        <w:rPr>
          <w:rFonts w:ascii="Calibri" w:hAnsi="Calibri" w:cs="Calibri"/>
          <w:sz w:val="28"/>
          <w:szCs w:val="28"/>
        </w:rPr>
      </w:pPr>
      <w:r w:rsidRPr="3AC16587" w:rsidR="005543F5">
        <w:rPr>
          <w:rStyle w:val="Heading2Char"/>
        </w:rPr>
        <w:t>Aim:</w:t>
      </w:r>
      <w:r w:rsidRPr="3AC16587" w:rsidR="005543F5">
        <w:rPr>
          <w:rFonts w:ascii="Calibri" w:hAnsi="Calibri" w:cs="Calibri"/>
          <w:sz w:val="28"/>
          <w:szCs w:val="28"/>
        </w:rPr>
        <w:t xml:space="preserve"> The aim of this tutorial is to </w:t>
      </w:r>
      <w:r w:rsidRPr="3AC16587" w:rsidR="33E77889">
        <w:rPr>
          <w:rFonts w:ascii="Calibri" w:hAnsi="Calibri" w:cs="Calibri"/>
          <w:sz w:val="28"/>
          <w:szCs w:val="28"/>
        </w:rPr>
        <w:t>establish</w:t>
      </w:r>
      <w:r w:rsidRPr="3AC16587" w:rsidR="33E77889">
        <w:rPr>
          <w:rFonts w:ascii="Calibri" w:hAnsi="Calibri" w:cs="Calibri"/>
          <w:sz w:val="28"/>
          <w:szCs w:val="28"/>
        </w:rPr>
        <w:t xml:space="preserve"> through understand about business process, business process modelling and to research new ways of </w:t>
      </w:r>
      <w:r w:rsidRPr="3AC16587" w:rsidR="33E77889">
        <w:rPr>
          <w:rFonts w:ascii="Calibri" w:hAnsi="Calibri" w:cs="Calibri"/>
          <w:sz w:val="28"/>
          <w:szCs w:val="28"/>
        </w:rPr>
        <w:t>representing</w:t>
      </w:r>
      <w:r w:rsidRPr="3AC16587" w:rsidR="33E77889">
        <w:rPr>
          <w:rFonts w:ascii="Calibri" w:hAnsi="Calibri" w:cs="Calibri"/>
          <w:sz w:val="28"/>
          <w:szCs w:val="28"/>
        </w:rPr>
        <w:t xml:space="preserve"> business processes.</w:t>
      </w:r>
    </w:p>
    <w:p w:rsidRPr="005543F5" w:rsidR="005543F5" w:rsidP="3AC16587" w:rsidRDefault="005543F5" w14:paraId="0C1120B4" w14:textId="018B2603">
      <w:pPr>
        <w:pStyle w:val="Heading3"/>
        <w:spacing w:before="281" w:beforeAutospacing="off" w:after="281" w:afterAutospacing="off"/>
        <w:rPr>
          <w:rFonts w:eastAsia="Times New Roman"/>
          <w:lang w:eastAsia="en-GB"/>
        </w:rPr>
      </w:pPr>
      <w:r w:rsidRPr="3AC16587" w:rsidR="4834F0A6">
        <w:rPr>
          <w:rFonts w:ascii="Calibri Light" w:hAnsi="Calibri Light" w:eastAsia="Times New Roman" w:cs="" w:asciiTheme="majorAscii" w:hAnsiTheme="majorAscii" w:eastAsiaTheme="majorEastAsia" w:cstheme="majorBidi"/>
          <w:noProof w:val="0"/>
          <w:color w:val="1F3763"/>
          <w:sz w:val="24"/>
          <w:szCs w:val="24"/>
          <w:lang w:val="en-GB" w:eastAsia="en-GB" w:bidi="ar-SA"/>
        </w:rPr>
        <w:t>Task 1: Understanding Key Concepts</w:t>
      </w:r>
    </w:p>
    <w:p w:rsidRPr="005543F5" w:rsidR="005543F5" w:rsidP="3AC16587" w:rsidRDefault="005543F5" w14:paraId="49DBFC02" w14:textId="08E931CD">
      <w:pPr>
        <w:spacing w:before="240" w:beforeAutospacing="off" w:after="24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1.1: Define Business Process and BPM</w:t>
      </w:r>
    </w:p>
    <w:p w:rsidRPr="005543F5" w:rsidR="005543F5" w:rsidP="3AC16587" w:rsidRDefault="005543F5" w14:paraId="5BF249BD" w14:textId="4EE6A535">
      <w:pPr>
        <w:pStyle w:val="ListParagraph"/>
        <w:numPr>
          <w:ilvl w:val="0"/>
          <w:numId w:val="4"/>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Define a Business Process and explain its significance in an organization.</w:t>
      </w:r>
    </w:p>
    <w:p>
      <w:r>
        <w:rPr>
          <w:rFonts w:ascii="Calibri" w:hAnsi="Calibri" w:eastAsia="Calibri"/>
          <w:b w:val="0"/>
          <w:i w:val="0"/>
          <w:sz w:val="22"/>
        </w:rPr>
        <w:t>A business process is a structured, repeatable set of activities that transforms inputs into outputs of value for a customer or stakeholder. It has a clear trigger, a sequence of tasks, decision points, roles, and an end state. In a hospital, “referral to first appointment” is a process: the trigger is an incoming referral; the output is either an accepted booking or a recorded rejection. A process is significant because organisations create value when work crosses roles in a controlled order. If the process is unclear, delays, duplicated work and unauthorised actions appear. In our case, clinical judgement, administrative execution and financial approval must stay separate; the process is the mechanism that enforces that separation.</w:t>
      </w:r>
    </w:p>
    <w:p w:rsidRPr="005543F5" w:rsidR="005543F5" w:rsidP="3AC16587" w:rsidRDefault="005543F5" w14:paraId="44FC9A67" w14:textId="1280EA89">
      <w:pPr>
        <w:pStyle w:val="ListParagraph"/>
        <w:numPr>
          <w:ilvl w:val="0"/>
          <w:numId w:val="4"/>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What is Business Process Management (BPM)? List the main phases involved in BPM.</w:t>
      </w:r>
    </w:p>
    <w:p>
      <w:r>
        <w:rPr>
          <w:rFonts w:ascii="Calibri" w:hAnsi="Calibri" w:eastAsia="Calibri"/>
          <w:b w:val="0"/>
          <w:i w:val="0"/>
          <w:sz w:val="22"/>
        </w:rPr>
        <w:t>Business Process Management (BPM) is a management discipline for identifying, documenting, analysing, improving, executing and monitoring processes so that they remain aligned with organisational goals. BPM is not only drawing diagrams. It is a cycle: understand the current work, find problems, redesign, put the new design into operation, and check whether it actually improved. Main phases in this tutorial: Process Identification; Process Discovery; Process Analysis; Process Redesign; Process Monitoring. (The full academic lifecycle also includes Implementation between Redesign and Monitoring.)</w:t>
      </w:r>
    </w:p>
    <w:p w:rsidRPr="005543F5" w:rsidR="005543F5" w:rsidP="3AC16587" w:rsidRDefault="005543F5" w14:paraId="68BDFFDB" w14:textId="636ADB6A">
      <w:pPr>
        <w:spacing w:before="240" w:beforeAutospacing="off" w:after="24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1.2: Research and Review</w:t>
      </w:r>
    </w:p>
    <w:p w:rsidRPr="005543F5" w:rsidR="005543F5" w:rsidP="3AC16587" w:rsidRDefault="005543F5" w14:paraId="68C4B9BD" w14:textId="3FF30D83">
      <w:pPr>
        <w:pStyle w:val="ListParagraph"/>
        <w:numPr>
          <w:ilvl w:val="0"/>
          <w:numId w:val="5"/>
        </w:numPr>
        <w:spacing w:before="240" w:beforeAutospacing="off" w:after="24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Use lecture materials or online resources to learn about the five phases of BPM lifecycle:</w:t>
      </w:r>
    </w:p>
    <w:p w:rsidRPr="005543F5" w:rsidR="005543F5" w:rsidP="3AC16587" w:rsidRDefault="005543F5" w14:paraId="7D3C2667" w14:textId="7B5CB96D">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Identification</w:t>
      </w:r>
    </w:p>
    <w:p w:rsidRPr="005543F5" w:rsidR="005543F5" w:rsidP="3AC16587" w:rsidRDefault="005543F5" w14:paraId="31229CC5" w14:textId="37C2B9DA">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Discovery</w:t>
      </w:r>
    </w:p>
    <w:p w:rsidRPr="005543F5" w:rsidR="005543F5" w:rsidP="3AC16587" w:rsidRDefault="005543F5" w14:paraId="12EBBF36" w14:textId="101DF3F8">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Analysis</w:t>
      </w:r>
    </w:p>
    <w:p w:rsidRPr="005543F5" w:rsidR="005543F5" w:rsidP="3AC16587" w:rsidRDefault="005543F5" w14:paraId="28762FB5" w14:textId="11D6AF3F">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Redesign</w:t>
      </w:r>
    </w:p>
    <w:p w:rsidRPr="005543F5" w:rsidR="005543F5" w:rsidP="3AC16587" w:rsidRDefault="005543F5" w14:paraId="302AD606" w14:textId="1E8AD04A">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Monitoring</w:t>
      </w:r>
    </w:p>
    <w:p w:rsidRPr="005543F5" w:rsidR="005543F5" w:rsidP="3AC16587" w:rsidRDefault="005543F5" w14:paraId="722F076B" w14:textId="51F60218">
      <w:pPr>
        <w:pStyle w:val="ListParagraph"/>
        <w:numPr>
          <w:ilvl w:val="0"/>
          <w:numId w:val="5"/>
        </w:numPr>
        <w:spacing w:before="240" w:beforeAutospacing="off" w:after="24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Task</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Write a brief description of each phase.</w:t>
      </w:r>
    </w:p>
    <w:p>
      <w:r>
        <w:rPr>
          <w:rFonts w:ascii="Calibri" w:hAnsi="Calibri" w:eastAsia="Calibri"/>
          <w:b w:val="0"/>
          <w:i w:val="0"/>
          <w:sz w:val="22"/>
        </w:rPr>
        <w:t>Process Identification: Decide which processes exist and which ones matter now. The organisation is mapped as a process landscape, not as a list of departments. Criteria such as strategic importance, pain, volume and risk are used to choose a candidate. Output: a process architecture and a shortlist. In our project this is the patient administration path, not the whole hospital IT estate.</w:t>
      </w:r>
    </w:p>
    <w:p>
      <w:r>
        <w:rPr>
          <w:rFonts w:ascii="Calibri" w:hAnsi="Calibri" w:eastAsia="Calibri"/>
          <w:b w:val="0"/>
          <w:i w:val="0"/>
          <w:sz w:val="22"/>
        </w:rPr>
        <w:t>Process Discovery: Document the AS-IS process: who does what, in what order, with which documents and systems. Sources include interviews, observation, existing forms, emails and the case study. Output: an AS-IS model at an agreed abstraction level. Discovery must record real work, including paper, phone and spreadsheets, not the ideal future path.</w:t>
      </w:r>
    </w:p>
    <w:p>
      <w:r>
        <w:rPr>
          <w:rFonts w:ascii="Calibri" w:hAnsi="Calibri" w:eastAsia="Calibri"/>
          <w:b w:val="0"/>
          <w:i w:val="0"/>
          <w:sz w:val="22"/>
        </w:rPr>
        <w:t>Process Analysis: Examine the AS-IS model for waste, delay, risk, handoff failure and rule violations. Qualitative analysis finds bottlenecks and unclear responsibilities; quantitative analysis uses waiting time, backlog and failure rates if data exist. Output: a list of issues with evidence. In the case: fragmented records, no audit trail, unauthorised clinical decisions by admin staff, and external-service failures that create duplicate bookings or duplicate charges.</w:t>
      </w:r>
    </w:p>
    <w:p>
      <w:r>
        <w:rPr>
          <w:rFonts w:ascii="Calibri" w:hAnsi="Calibri" w:eastAsia="Calibri"/>
          <w:b w:val="0"/>
          <w:i w:val="0"/>
          <w:sz w:val="22"/>
        </w:rPr>
        <w:t>Process Redesign: Design the TO-BE process that removes the issues without breaking mandatory rules. Options include removing waste, tightening gates, automating handoffs, and adding exception paths. Output: a TO-BE model plus change rationale. In our case the redesign cannot let a secretary accept a referral or let finance decide treatment. The gates stay; the medium (email/paper) is replaced by a controlled workflow.</w:t>
      </w:r>
    </w:p>
    <w:p>
      <w:r>
        <w:rPr>
          <w:rFonts w:ascii="Calibri" w:hAnsi="Calibri" w:eastAsia="Calibri"/>
          <w:b w:val="0"/>
          <w:i w:val="0"/>
          <w:sz w:val="22"/>
        </w:rPr>
        <w:t>Process Monitoring: After the new process is in use, measure whether it behaves as designed. KPIs include backlog, waiting time, letter delay, unpaid funding, failed payments and unfinished enquiries. Monitoring feeds the next Identification/Analysis cycle. If a letter is unapproved after seven days, the process itself must raise delay and escalation — that is monitoring, not a one-off report.</w:t>
      </w:r>
    </w:p>
    <w:p w:rsidRPr="005543F5" w:rsidR="005543F5" w:rsidP="3AC16587" w:rsidRDefault="005543F5" w14:paraId="136A2A7C" w14:textId="07986BB8">
      <w:pPr>
        <w:pStyle w:val="Heading3"/>
        <w:spacing w:before="281" w:beforeAutospacing="off" w:after="281" w:afterAutospacing="off"/>
        <w:rPr>
          <w:rFonts w:eastAsia="Times New Roman"/>
          <w:lang w:eastAsia="en-GB"/>
        </w:rPr>
      </w:pPr>
      <w:r w:rsidRPr="3AC16587" w:rsidR="4834F0A6">
        <w:rPr>
          <w:rFonts w:ascii="Calibri Light" w:hAnsi="Calibri Light" w:eastAsia="Times New Roman" w:cs="" w:asciiTheme="majorAscii" w:hAnsiTheme="majorAscii" w:eastAsiaTheme="majorEastAsia" w:cstheme="majorBidi"/>
          <w:noProof w:val="0"/>
          <w:color w:val="1F3763"/>
          <w:sz w:val="24"/>
          <w:szCs w:val="24"/>
          <w:lang w:val="en-GB" w:eastAsia="en-GB" w:bidi="ar-SA"/>
        </w:rPr>
        <w:t>Task 2: Application of Key Concepts</w:t>
      </w:r>
    </w:p>
    <w:p w:rsidRPr="005543F5" w:rsidR="005543F5" w:rsidP="3AC16587" w:rsidRDefault="005543F5" w14:paraId="44CA8B75" w14:textId="6DBD23AE">
      <w:pPr>
        <w:pStyle w:val="Normal"/>
        <w:suppressLineNumbers w:val="0"/>
        <w:bidi w:val="0"/>
        <w:spacing w:before="240" w:beforeAutospacing="off" w:after="240" w:afterAutospacing="off" w:line="259" w:lineRule="auto"/>
        <w:ind w:left="0" w:right="0"/>
        <w:jc w:val="left"/>
        <w:rPr>
          <w:rFonts w:ascii="Calibri" w:hAnsi="Calibri" w:eastAsia="Times New Roman" w:cs="Calibri" w:asciiTheme="minorAscii" w:hAnsiTheme="minorAscii" w:eastAsiaTheme="minorAscii" w:cstheme="minorBidi"/>
          <w:noProof w:val="0"/>
          <w:color w:val="auto"/>
          <w:sz w:val="28"/>
          <w:szCs w:val="28"/>
          <w:lang w:val="en-GB" w:eastAsia="en-GB" w:bidi="ar-SA"/>
        </w:rPr>
      </w:pPr>
      <w:r w:rsidRPr="7B4B4CD4" w:rsidR="4834F0A6">
        <w:rPr>
          <w:rFonts w:ascii="Calibri" w:hAnsi="Calibri" w:eastAsia="Calibri" w:cs="" w:asciiTheme="minorAscii" w:hAnsiTheme="minorAscii" w:eastAsiaTheme="minorAscii" w:cstheme="minorBidi"/>
          <w:noProof w:val="0"/>
          <w:color w:val="auto"/>
          <w:sz w:val="28"/>
          <w:szCs w:val="28"/>
          <w:lang w:val="en-GB" w:eastAsia="en-GB" w:bidi="ar-SA"/>
        </w:rPr>
        <w:t>2.1: Analyse the case study provided</w:t>
      </w:r>
    </w:p>
    <w:p w:rsidRPr="005543F5" w:rsidR="005543F5" w:rsidP="3AC16587" w:rsidRDefault="005543F5" w14:paraId="08196048" w14:textId="6BF5809C">
      <w:pPr>
        <w:pStyle w:val="ListParagraph"/>
        <w:numPr>
          <w:ilvl w:val="0"/>
          <w:numId w:val="6"/>
        </w:numPr>
        <w:spacing w:before="240" w:beforeAutospacing="off" w:after="240" w:afterAutospacing="off" w:line="259" w:lineRule="auto"/>
        <w:ind w:right="0"/>
        <w:jc w:val="left"/>
        <w:rPr>
          <w:rFonts w:ascii="Calibri" w:hAnsi="Calibri" w:eastAsia="Times New Roman" w:cs="Calibri" w:asciiTheme="minorAscii" w:hAnsiTheme="minorAscii" w:eastAsiaTheme="minorAscii" w:cstheme="minorBidi"/>
          <w:noProof w:val="0"/>
          <w:color w:val="auto"/>
          <w:sz w:val="28"/>
          <w:szCs w:val="28"/>
          <w:lang w:val="en-GB" w:eastAsia="en-GB" w:bidi="ar-SA"/>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Identify</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different stake holders of the business</w:t>
      </w:r>
    </w:p>
    <w:p>
      <w:r>
        <w:rPr>
          <w:rFonts w:ascii="Calibri" w:hAnsi="Calibri" w:eastAsia="Calibri"/>
          <w:b w:val="0"/>
          <w:i w:val="0"/>
          <w:sz w:val="22"/>
        </w:rPr>
        <w:t>Case: Hospital Patient Referral, Treatment and Administration System. Conflict to keep visible: clinicians want less recording during clinics; management wants an audit trail. Patients disagree on paper versus electronic contact.</w:t>
      </w:r>
    </w:p>
    <w:tbl>
      <w:tblPr>
        <w:tblW w:type="auto" w:w="0"/>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shd w:fill="D9E2F3" w:val="clear"/>
          </w:tcPr>
          <w:p>
            <w:r/>
            <w:r>
              <w:rPr>
                <w:rFonts w:ascii="Calibri" w:hAnsi="Calibri" w:eastAsia="Calibri"/>
                <w:b/>
                <w:i w:val="0"/>
                <w:color w:val="1F1F1F"/>
                <w:sz w:val="20"/>
              </w:rPr>
              <w:t>Category</w:t>
            </w:r>
          </w:p>
        </w:tc>
        <w:tc>
          <w:tcPr>
            <w:tcW w:type="dxa" w:w="3009"/>
            <w:shd w:fill="D9E2F3" w:val="clear"/>
          </w:tcPr>
          <w:p>
            <w:r/>
            <w:r>
              <w:rPr>
                <w:rFonts w:ascii="Calibri" w:hAnsi="Calibri" w:eastAsia="Calibri"/>
                <w:b/>
                <w:i w:val="0"/>
                <w:color w:val="1F1F1F"/>
                <w:sz w:val="20"/>
              </w:rPr>
              <w:t>Stakeholder</w:t>
            </w:r>
          </w:p>
        </w:tc>
        <w:tc>
          <w:tcPr>
            <w:tcW w:type="dxa" w:w="3009"/>
            <w:shd w:fill="D9E2F3" w:val="clear"/>
          </w:tcPr>
          <w:p>
            <w:r/>
            <w:r>
              <w:rPr>
                <w:rFonts w:ascii="Calibri" w:hAnsi="Calibri" w:eastAsia="Calibri"/>
                <w:b/>
                <w:i w:val="0"/>
                <w:color w:val="1F1F1F"/>
                <w:sz w:val="20"/>
              </w:rPr>
              <w:t>Interest</w:t>
            </w:r>
          </w:p>
        </w:tc>
      </w:tr>
      <w:tr>
        <w:tc>
          <w:tcPr>
            <w:tcW w:type="dxa" w:w="3009"/>
          </w:tcPr>
          <w:p>
            <w:r/>
            <w:r>
              <w:rPr>
                <w:rFonts w:ascii="Calibri" w:hAnsi="Calibri" w:eastAsia="Calibri"/>
                <w:b w:val="0"/>
                <w:i w:val="0"/>
                <w:sz w:val="20"/>
              </w:rPr>
              <w:t>Patient side</w:t>
            </w:r>
          </w:p>
        </w:tc>
        <w:tc>
          <w:tcPr>
            <w:tcW w:type="dxa" w:w="3009"/>
          </w:tcPr>
          <w:p>
            <w:r/>
            <w:r>
              <w:rPr>
                <w:rFonts w:ascii="Calibri" w:hAnsi="Calibri" w:eastAsia="Calibri"/>
                <w:b w:val="0"/>
                <w:i w:val="0"/>
                <w:sz w:val="20"/>
              </w:rPr>
              <w:t>Patient; authorised representative</w:t>
            </w:r>
          </w:p>
        </w:tc>
        <w:tc>
          <w:tcPr>
            <w:tcW w:type="dxa" w:w="3009"/>
          </w:tcPr>
          <w:p>
            <w:r/>
            <w:r>
              <w:rPr>
                <w:rFonts w:ascii="Calibri" w:hAnsi="Calibri" w:eastAsia="Calibri"/>
                <w:b w:val="0"/>
                <w:i w:val="0"/>
                <w:sz w:val="20"/>
              </w:rPr>
              <w:t>Timely care, privacy, preferred contact channel (letter / electronic / accessible format)</w:t>
            </w:r>
          </w:p>
        </w:tc>
      </w:tr>
      <w:tr>
        <w:tc>
          <w:tcPr>
            <w:tcW w:type="dxa" w:w="3009"/>
          </w:tcPr>
          <w:p>
            <w:r/>
            <w:r>
              <w:rPr>
                <w:rFonts w:ascii="Calibri" w:hAnsi="Calibri" w:eastAsia="Calibri"/>
                <w:b w:val="0"/>
                <w:i w:val="0"/>
                <w:sz w:val="20"/>
              </w:rPr>
              <w:t>Referrers</w:t>
            </w:r>
          </w:p>
        </w:tc>
        <w:tc>
          <w:tcPr>
            <w:tcW w:type="dxa" w:w="3009"/>
          </w:tcPr>
          <w:p>
            <w:r/>
            <w:r>
              <w:rPr>
                <w:rFonts w:ascii="Calibri" w:hAnsi="Calibri" w:eastAsia="Calibri"/>
                <w:b w:val="0"/>
                <w:i w:val="0"/>
                <w:sz w:val="20"/>
              </w:rPr>
              <w:t>GP; other hospitals</w:t>
            </w:r>
          </w:p>
        </w:tc>
        <w:tc>
          <w:tcPr>
            <w:tcW w:type="dxa" w:w="3009"/>
          </w:tcPr>
          <w:p>
            <w:r/>
            <w:r>
              <w:rPr>
                <w:rFonts w:ascii="Calibri" w:hAnsi="Calibri" w:eastAsia="Calibri"/>
                <w:b w:val="0"/>
                <w:i w:val="0"/>
                <w:sz w:val="20"/>
              </w:rPr>
              <w:t>Complete referral, feedback on accept/reject, later outcome letters</w:t>
            </w:r>
          </w:p>
        </w:tc>
      </w:tr>
      <w:tr>
        <w:tc>
          <w:tcPr>
            <w:tcW w:type="dxa" w:w="3009"/>
          </w:tcPr>
          <w:p>
            <w:r/>
            <w:r>
              <w:rPr>
                <w:rFonts w:ascii="Calibri" w:hAnsi="Calibri" w:eastAsia="Calibri"/>
                <w:b w:val="0"/>
                <w:i w:val="0"/>
                <w:sz w:val="20"/>
              </w:rPr>
              <w:t>Clinical</w:t>
            </w:r>
          </w:p>
        </w:tc>
        <w:tc>
          <w:tcPr>
            <w:tcW w:type="dxa" w:w="3009"/>
          </w:tcPr>
          <w:p>
            <w:r/>
            <w:r>
              <w:rPr>
                <w:rFonts w:ascii="Calibri" w:hAnsi="Calibri" w:eastAsia="Calibri"/>
                <w:b w:val="0"/>
                <w:i w:val="0"/>
                <w:sz w:val="20"/>
              </w:rPr>
              <w:t>Consultant; Clinical Nurse Specialist (CNS) and related clinicians</w:t>
            </w:r>
          </w:p>
        </w:tc>
        <w:tc>
          <w:tcPr>
            <w:tcW w:type="dxa" w:w="3009"/>
          </w:tcPr>
          <w:p>
            <w:r/>
            <w:r>
              <w:rPr>
                <w:rFonts w:ascii="Calibri" w:hAnsi="Calibri" w:eastAsia="Calibri"/>
                <w:b w:val="0"/>
                <w:i w:val="0"/>
                <w:sz w:val="20"/>
              </w:rPr>
              <w:t>Control clinical decisions: accept referral, authorise treatment, approve letters, change treatment</w:t>
            </w:r>
          </w:p>
        </w:tc>
      </w:tr>
      <w:tr>
        <w:tc>
          <w:tcPr>
            <w:tcW w:type="dxa" w:w="3009"/>
          </w:tcPr>
          <w:p>
            <w:r/>
            <w:r>
              <w:rPr>
                <w:rFonts w:ascii="Calibri" w:hAnsi="Calibri" w:eastAsia="Calibri"/>
                <w:b w:val="0"/>
                <w:i w:val="0"/>
                <w:sz w:val="20"/>
              </w:rPr>
              <w:t>Administrative</w:t>
            </w:r>
          </w:p>
        </w:tc>
        <w:tc>
          <w:tcPr>
            <w:tcW w:type="dxa" w:w="3009"/>
          </w:tcPr>
          <w:p>
            <w:r/>
            <w:r>
              <w:rPr>
                <w:rFonts w:ascii="Calibri" w:hAnsi="Calibri" w:eastAsia="Calibri"/>
                <w:b w:val="0"/>
                <w:i w:val="0"/>
                <w:sz w:val="20"/>
              </w:rPr>
              <w:t>Medical Secretaries; Outpatient / Treatment Bookings; Call Handling; Pathway Coordinators; Administrative Management</w:t>
            </w:r>
          </w:p>
        </w:tc>
        <w:tc>
          <w:tcPr>
            <w:tcW w:type="dxa" w:w="3009"/>
          </w:tcPr>
          <w:p>
            <w:r/>
            <w:r>
              <w:rPr>
                <w:rFonts w:ascii="Calibri" w:hAnsi="Calibri" w:eastAsia="Calibri"/>
                <w:b w:val="0"/>
                <w:i w:val="0"/>
                <w:sz w:val="20"/>
              </w:rPr>
              <w:t>Check papers, book slots, send letters, route calls, watch delays — cannot replace the doctor</w:t>
            </w:r>
          </w:p>
        </w:tc>
      </w:tr>
      <w:tr>
        <w:tc>
          <w:tcPr>
            <w:tcW w:type="dxa" w:w="3009"/>
          </w:tcPr>
          <w:p>
            <w:r/>
            <w:r>
              <w:rPr>
                <w:rFonts w:ascii="Calibri" w:hAnsi="Calibri" w:eastAsia="Calibri"/>
                <w:b w:val="0"/>
                <w:i w:val="0"/>
                <w:sz w:val="20"/>
              </w:rPr>
              <w:t>Finance</w:t>
            </w:r>
          </w:p>
        </w:tc>
        <w:tc>
          <w:tcPr>
            <w:tcW w:type="dxa" w:w="3009"/>
          </w:tcPr>
          <w:p>
            <w:r/>
            <w:r>
              <w:rPr>
                <w:rFonts w:ascii="Calibri" w:hAnsi="Calibri" w:eastAsia="Calibri"/>
                <w:b w:val="0"/>
                <w:i w:val="0"/>
                <w:sz w:val="20"/>
              </w:rPr>
              <w:t>Finance Team</w:t>
            </w:r>
          </w:p>
        </w:tc>
        <w:tc>
          <w:tcPr>
            <w:tcW w:type="dxa" w:w="3009"/>
          </w:tcPr>
          <w:p>
            <w:r/>
            <w:r>
              <w:rPr>
                <w:rFonts w:ascii="Calibri" w:hAnsi="Calibri" w:eastAsia="Calibri"/>
                <w:b w:val="0"/>
                <w:i w:val="0"/>
                <w:sz w:val="20"/>
              </w:rPr>
              <w:t>Funding decision, payment, refund — cannot decide whether to treat</w:t>
            </w:r>
          </w:p>
        </w:tc>
      </w:tr>
      <w:tr>
        <w:tc>
          <w:tcPr>
            <w:tcW w:type="dxa" w:w="3009"/>
          </w:tcPr>
          <w:p>
            <w:r/>
            <w:r>
              <w:rPr>
                <w:rFonts w:ascii="Calibri" w:hAnsi="Calibri" w:eastAsia="Calibri"/>
                <w:b w:val="0"/>
                <w:i w:val="0"/>
                <w:sz w:val="20"/>
              </w:rPr>
              <w:t>External providers</w:t>
            </w:r>
          </w:p>
        </w:tc>
        <w:tc>
          <w:tcPr>
            <w:tcW w:type="dxa" w:w="3009"/>
          </w:tcPr>
          <w:p>
            <w:r/>
            <w:r>
              <w:rPr>
                <w:rFonts w:ascii="Calibri" w:hAnsi="Calibri" w:eastAsia="Calibri"/>
                <w:b w:val="0"/>
                <w:i w:val="0"/>
                <w:sz w:val="20"/>
              </w:rPr>
              <w:t>Scheduling; correspondence; payment provider; lab / imaging / external treatment</w:t>
            </w:r>
          </w:p>
        </w:tc>
        <w:tc>
          <w:tcPr>
            <w:tcW w:type="dxa" w:w="3009"/>
          </w:tcPr>
          <w:p>
            <w:r/>
            <w:r>
              <w:rPr>
                <w:rFonts w:ascii="Calibri" w:hAnsi="Calibri" w:eastAsia="Calibri"/>
                <w:b w:val="0"/>
                <w:i w:val="0"/>
                <w:sz w:val="20"/>
              </w:rPr>
              <w:t>Slots, letters, charges/refunds, resource availability</w:t>
            </w:r>
          </w:p>
        </w:tc>
      </w:tr>
      <w:tr>
        <w:tc>
          <w:tcPr>
            <w:tcW w:type="dxa" w:w="3009"/>
          </w:tcPr>
          <w:p>
            <w:r/>
            <w:r>
              <w:rPr>
                <w:rFonts w:ascii="Calibri" w:hAnsi="Calibri" w:eastAsia="Calibri"/>
                <w:b w:val="0"/>
                <w:i w:val="0"/>
                <w:sz w:val="20"/>
              </w:rPr>
              <w:t>Funders</w:t>
            </w:r>
          </w:p>
        </w:tc>
        <w:tc>
          <w:tcPr>
            <w:tcW w:type="dxa" w:w="3009"/>
          </w:tcPr>
          <w:p>
            <w:r/>
            <w:r>
              <w:rPr>
                <w:rFonts w:ascii="Calibri" w:hAnsi="Calibri" w:eastAsia="Calibri"/>
                <w:b w:val="0"/>
                <w:i w:val="0"/>
                <w:sz w:val="20"/>
              </w:rPr>
              <w:t>Insurer or funding organisation</w:t>
            </w:r>
          </w:p>
        </w:tc>
        <w:tc>
          <w:tcPr>
            <w:tcW w:type="dxa" w:w="3009"/>
          </w:tcPr>
          <w:p>
            <w:r/>
            <w:r>
              <w:rPr>
                <w:rFonts w:ascii="Calibri" w:hAnsi="Calibri" w:eastAsia="Calibri"/>
                <w:b w:val="0"/>
                <w:i w:val="0"/>
                <w:sz w:val="20"/>
              </w:rPr>
              <w:t>Approval number, amount, restrictions</w:t>
            </w:r>
          </w:p>
        </w:tc>
      </w:tr>
      <w:tr>
        <w:tc>
          <w:tcPr>
            <w:tcW w:type="dxa" w:w="3009"/>
          </w:tcPr>
          <w:p>
            <w:r/>
            <w:r>
              <w:rPr>
                <w:rFonts w:ascii="Calibri" w:hAnsi="Calibri" w:eastAsia="Calibri"/>
                <w:b w:val="0"/>
                <w:i w:val="0"/>
                <w:sz w:val="20"/>
              </w:rPr>
              <w:t>Governance</w:t>
            </w:r>
          </w:p>
        </w:tc>
        <w:tc>
          <w:tcPr>
            <w:tcW w:type="dxa" w:w="3009"/>
          </w:tcPr>
          <w:p>
            <w:r/>
            <w:r>
              <w:rPr>
                <w:rFonts w:ascii="Calibri" w:hAnsi="Calibri" w:eastAsia="Calibri"/>
                <w:b w:val="0"/>
                <w:i w:val="0"/>
                <w:sz w:val="20"/>
              </w:rPr>
              <w:t>Hospital management</w:t>
            </w:r>
          </w:p>
        </w:tc>
        <w:tc>
          <w:tcPr>
            <w:tcW w:type="dxa" w:w="3009"/>
          </w:tcPr>
          <w:p>
            <w:r/>
            <w:r>
              <w:rPr>
                <w:rFonts w:ascii="Calibri" w:hAnsi="Calibri" w:eastAsia="Calibri"/>
                <w:b w:val="0"/>
                <w:i w:val="0"/>
                <w:sz w:val="20"/>
              </w:rPr>
              <w:t>Progress, delay, audit, reports — without extra clinical data entry</w:t>
            </w:r>
          </w:p>
        </w:tc>
      </w:tr>
    </w:tbl>
    <w:p w:rsidRPr="005543F5" w:rsidR="005543F5" w:rsidP="3AC16587" w:rsidRDefault="005543F5" w14:paraId="708BC296" w14:textId="32811823">
      <w:pPr>
        <w:pStyle w:val="ListParagraph"/>
        <w:numPr>
          <w:ilvl w:val="0"/>
          <w:numId w:val="6"/>
        </w:numPr>
        <w:spacing w:before="240" w:beforeAutospacing="off" w:after="240" w:afterAutospacing="off" w:line="259" w:lineRule="auto"/>
        <w:ind w:right="0"/>
        <w:jc w:val="left"/>
        <w:rPr>
          <w:rFonts w:ascii="Calibri" w:hAnsi="Calibri" w:eastAsia="Times New Roman" w:cs="Calibri" w:asciiTheme="minorAscii" w:hAnsiTheme="minorAscii" w:eastAsiaTheme="minorAscii" w:cstheme="minorBidi"/>
          <w:noProof w:val="0"/>
          <w:color w:val="auto"/>
          <w:sz w:val="28"/>
          <w:szCs w:val="28"/>
          <w:lang w:val="en-GB" w:eastAsia="en-GB" w:bidi="ar-SA"/>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Identify</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all</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the business processes</w:t>
      </w:r>
    </w:p>
    <w:p>
      <w:r>
        <w:rPr>
          <w:rFonts w:ascii="Calibri" w:hAnsi="Calibri" w:eastAsia="Calibri"/>
          <w:b w:val="0"/>
          <w:i w:val="0"/>
          <w:sz w:val="22"/>
        </w:rPr>
        <w:t>The processes below each have a trigger, owner and end state.</w:t>
      </w:r>
    </w:p>
    <w:tbl>
      <w:tblPr>
        <w:tblW w:type="auto" w:w="0"/>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shd w:fill="D9E2F3" w:val="clear"/>
          </w:tcPr>
          <w:p>
            <w:r/>
            <w:r>
              <w:rPr>
                <w:rFonts w:ascii="Calibri" w:hAnsi="Calibri" w:eastAsia="Calibri"/>
                <w:b/>
                <w:i w:val="0"/>
                <w:color w:val="1F1F1F"/>
                <w:sz w:val="20"/>
              </w:rPr>
              <w:t>ID</w:t>
            </w:r>
          </w:p>
        </w:tc>
        <w:tc>
          <w:tcPr>
            <w:tcW w:type="dxa" w:w="1805"/>
            <w:shd w:fill="D9E2F3" w:val="clear"/>
          </w:tcPr>
          <w:p>
            <w:r/>
            <w:r>
              <w:rPr>
                <w:rFonts w:ascii="Calibri" w:hAnsi="Calibri" w:eastAsia="Calibri"/>
                <w:b/>
                <w:i w:val="0"/>
                <w:color w:val="1F1F1F"/>
                <w:sz w:val="20"/>
              </w:rPr>
              <w:t>Business process</w:t>
            </w:r>
          </w:p>
        </w:tc>
        <w:tc>
          <w:tcPr>
            <w:tcW w:type="dxa" w:w="1805"/>
            <w:shd w:fill="D9E2F3" w:val="clear"/>
          </w:tcPr>
          <w:p>
            <w:r/>
            <w:r>
              <w:rPr>
                <w:rFonts w:ascii="Calibri" w:hAnsi="Calibri" w:eastAsia="Calibri"/>
                <w:b/>
                <w:i w:val="0"/>
                <w:color w:val="1F1F1F"/>
                <w:sz w:val="20"/>
              </w:rPr>
              <w:t>Trigger</w:t>
            </w:r>
          </w:p>
        </w:tc>
        <w:tc>
          <w:tcPr>
            <w:tcW w:type="dxa" w:w="1805"/>
            <w:shd w:fill="D9E2F3" w:val="clear"/>
          </w:tcPr>
          <w:p>
            <w:r/>
            <w:r>
              <w:rPr>
                <w:rFonts w:ascii="Calibri" w:hAnsi="Calibri" w:eastAsia="Calibri"/>
                <w:b/>
                <w:i w:val="0"/>
                <w:color w:val="1F1F1F"/>
                <w:sz w:val="20"/>
              </w:rPr>
              <w:t>Main owner</w:t>
            </w:r>
          </w:p>
        </w:tc>
        <w:tc>
          <w:tcPr>
            <w:tcW w:type="dxa" w:w="1805"/>
            <w:shd w:fill="D9E2F3" w:val="clear"/>
          </w:tcPr>
          <w:p>
            <w:r/>
            <w:r>
              <w:rPr>
                <w:rFonts w:ascii="Calibri" w:hAnsi="Calibri" w:eastAsia="Calibri"/>
                <w:b/>
                <w:i w:val="0"/>
                <w:color w:val="1F1F1F"/>
                <w:sz w:val="20"/>
              </w:rPr>
              <w:t>End state</w:t>
            </w:r>
          </w:p>
        </w:tc>
      </w:tr>
      <w:tr>
        <w:tc>
          <w:tcPr>
            <w:tcW w:type="dxa" w:w="1805"/>
          </w:tcPr>
          <w:p>
            <w:r/>
            <w:r>
              <w:rPr>
                <w:rFonts w:ascii="Calibri" w:hAnsi="Calibri" w:eastAsia="Calibri"/>
                <w:b w:val="0"/>
                <w:i w:val="0"/>
                <w:sz w:val="20"/>
              </w:rPr>
              <w:t>P1</w:t>
            </w:r>
          </w:p>
        </w:tc>
        <w:tc>
          <w:tcPr>
            <w:tcW w:type="dxa" w:w="1805"/>
          </w:tcPr>
          <w:p>
            <w:r/>
            <w:r>
              <w:rPr>
                <w:rFonts w:ascii="Calibri" w:hAnsi="Calibri" w:eastAsia="Calibri"/>
                <w:b w:val="0"/>
                <w:i w:val="0"/>
                <w:sz w:val="20"/>
              </w:rPr>
              <w:t>Referral receipt and document check</w:t>
            </w:r>
          </w:p>
        </w:tc>
        <w:tc>
          <w:tcPr>
            <w:tcW w:type="dxa" w:w="1805"/>
          </w:tcPr>
          <w:p>
            <w:r/>
            <w:r>
              <w:rPr>
                <w:rFonts w:ascii="Calibri" w:hAnsi="Calibri" w:eastAsia="Calibri"/>
                <w:b w:val="0"/>
                <w:i w:val="0"/>
                <w:sz w:val="20"/>
              </w:rPr>
              <w:t>New referral arrives</w:t>
            </w:r>
          </w:p>
        </w:tc>
        <w:tc>
          <w:tcPr>
            <w:tcW w:type="dxa" w:w="1805"/>
          </w:tcPr>
          <w:p>
            <w:r/>
            <w:r>
              <w:rPr>
                <w:rFonts w:ascii="Calibri" w:hAnsi="Calibri" w:eastAsia="Calibri"/>
                <w:b w:val="0"/>
                <w:i w:val="0"/>
                <w:sz w:val="20"/>
              </w:rPr>
              <w:t>Medical Secretaries</w:t>
            </w:r>
          </w:p>
        </w:tc>
        <w:tc>
          <w:tcPr>
            <w:tcW w:type="dxa" w:w="1805"/>
          </w:tcPr>
          <w:p>
            <w:r/>
            <w:r>
              <w:rPr>
                <w:rFonts w:ascii="Calibri" w:hAnsi="Calibri" w:eastAsia="Calibri"/>
                <w:b w:val="0"/>
                <w:i w:val="0"/>
                <w:sz w:val="20"/>
              </w:rPr>
              <w:t>Complete / incomplete pack; no clinical accept</w:t>
            </w:r>
          </w:p>
        </w:tc>
      </w:tr>
      <w:tr>
        <w:tc>
          <w:tcPr>
            <w:tcW w:type="dxa" w:w="1805"/>
          </w:tcPr>
          <w:p>
            <w:r/>
            <w:r>
              <w:rPr>
                <w:rFonts w:ascii="Calibri" w:hAnsi="Calibri" w:eastAsia="Calibri"/>
                <w:b w:val="0"/>
                <w:i w:val="0"/>
                <w:sz w:val="20"/>
              </w:rPr>
              <w:t>P2</w:t>
            </w:r>
          </w:p>
        </w:tc>
        <w:tc>
          <w:tcPr>
            <w:tcW w:type="dxa" w:w="1805"/>
          </w:tcPr>
          <w:p>
            <w:r/>
            <w:r>
              <w:rPr>
                <w:rFonts w:ascii="Calibri" w:hAnsi="Calibri" w:eastAsia="Calibri"/>
                <w:b w:val="0"/>
                <w:i w:val="0"/>
                <w:sz w:val="20"/>
              </w:rPr>
              <w:t>Clinical review of referral</w:t>
            </w:r>
          </w:p>
        </w:tc>
        <w:tc>
          <w:tcPr>
            <w:tcW w:type="dxa" w:w="1805"/>
          </w:tcPr>
          <w:p>
            <w:r/>
            <w:r>
              <w:rPr>
                <w:rFonts w:ascii="Calibri" w:hAnsi="Calibri" w:eastAsia="Calibri"/>
                <w:b w:val="0"/>
                <w:i w:val="0"/>
                <w:sz w:val="20"/>
              </w:rPr>
              <w:t>Pack sent to Consultant</w:t>
            </w:r>
          </w:p>
        </w:tc>
        <w:tc>
          <w:tcPr>
            <w:tcW w:type="dxa" w:w="1805"/>
          </w:tcPr>
          <w:p>
            <w:r/>
            <w:r>
              <w:rPr>
                <w:rFonts w:ascii="Calibri" w:hAnsi="Calibri" w:eastAsia="Calibri"/>
                <w:b w:val="0"/>
                <w:i w:val="0"/>
                <w:sz w:val="20"/>
              </w:rPr>
              <w:t>Consultant</w:t>
            </w:r>
          </w:p>
        </w:tc>
        <w:tc>
          <w:tcPr>
            <w:tcW w:type="dxa" w:w="1805"/>
          </w:tcPr>
          <w:p>
            <w:r/>
            <w:r>
              <w:rPr>
                <w:rFonts w:ascii="Calibri" w:hAnsi="Calibri" w:eastAsia="Calibri"/>
                <w:b w:val="0"/>
                <w:i w:val="0"/>
                <w:sz w:val="20"/>
              </w:rPr>
              <w:t>Accept / reject / request more information / redirect</w:t>
            </w:r>
          </w:p>
        </w:tc>
      </w:tr>
      <w:tr>
        <w:tc>
          <w:tcPr>
            <w:tcW w:type="dxa" w:w="1805"/>
          </w:tcPr>
          <w:p>
            <w:r/>
            <w:r>
              <w:rPr>
                <w:rFonts w:ascii="Calibri" w:hAnsi="Calibri" w:eastAsia="Calibri"/>
                <w:b w:val="0"/>
                <w:i w:val="0"/>
                <w:sz w:val="20"/>
              </w:rPr>
              <w:t>P3</w:t>
            </w:r>
          </w:p>
        </w:tc>
        <w:tc>
          <w:tcPr>
            <w:tcW w:type="dxa" w:w="1805"/>
          </w:tcPr>
          <w:p>
            <w:r/>
            <w:r>
              <w:rPr>
                <w:rFonts w:ascii="Calibri" w:hAnsi="Calibri" w:eastAsia="Calibri"/>
                <w:b w:val="0"/>
                <w:i w:val="0"/>
                <w:sz w:val="20"/>
              </w:rPr>
              <w:t>New Patient Appointment booking</w:t>
            </w:r>
          </w:p>
        </w:tc>
        <w:tc>
          <w:tcPr>
            <w:tcW w:type="dxa" w:w="1805"/>
          </w:tcPr>
          <w:p>
            <w:r/>
            <w:r>
              <w:rPr>
                <w:rFonts w:ascii="Calibri" w:hAnsi="Calibri" w:eastAsia="Calibri"/>
                <w:b w:val="0"/>
                <w:i w:val="0"/>
                <w:sz w:val="20"/>
              </w:rPr>
              <w:t>Referral accepted by authorised Consultant</w:t>
            </w:r>
          </w:p>
        </w:tc>
        <w:tc>
          <w:tcPr>
            <w:tcW w:type="dxa" w:w="1805"/>
          </w:tcPr>
          <w:p>
            <w:r/>
            <w:r>
              <w:rPr>
                <w:rFonts w:ascii="Calibri" w:hAnsi="Calibri" w:eastAsia="Calibri"/>
                <w:b w:val="0"/>
                <w:i w:val="0"/>
                <w:sz w:val="20"/>
              </w:rPr>
              <w:t>Outpatient Bookings + external scheduling</w:t>
            </w:r>
          </w:p>
        </w:tc>
        <w:tc>
          <w:tcPr>
            <w:tcW w:type="dxa" w:w="1805"/>
          </w:tcPr>
          <w:p>
            <w:r/>
            <w:r>
              <w:rPr>
                <w:rFonts w:ascii="Calibri" w:hAnsi="Calibri" w:eastAsia="Calibri"/>
                <w:b w:val="0"/>
                <w:i w:val="0"/>
                <w:sz w:val="20"/>
              </w:rPr>
              <w:t>Confirmed appointment, or pending if no slot / service down</w:t>
            </w:r>
          </w:p>
        </w:tc>
      </w:tr>
      <w:tr>
        <w:tc>
          <w:tcPr>
            <w:tcW w:type="dxa" w:w="1805"/>
          </w:tcPr>
          <w:p>
            <w:r/>
            <w:r>
              <w:rPr>
                <w:rFonts w:ascii="Calibri" w:hAnsi="Calibri" w:eastAsia="Calibri"/>
                <w:b w:val="0"/>
                <w:i w:val="0"/>
                <w:sz w:val="20"/>
              </w:rPr>
              <w:t>P4</w:t>
            </w:r>
          </w:p>
        </w:tc>
        <w:tc>
          <w:tcPr>
            <w:tcW w:type="dxa" w:w="1805"/>
          </w:tcPr>
          <w:p>
            <w:r/>
            <w:r>
              <w:rPr>
                <w:rFonts w:ascii="Calibri" w:hAnsi="Calibri" w:eastAsia="Calibri"/>
                <w:b w:val="0"/>
                <w:i w:val="0"/>
                <w:sz w:val="20"/>
              </w:rPr>
              <w:t>Patient notification and contact log</w:t>
            </w:r>
          </w:p>
        </w:tc>
        <w:tc>
          <w:tcPr>
            <w:tcW w:type="dxa" w:w="1805"/>
          </w:tcPr>
          <w:p>
            <w:r/>
            <w:r>
              <w:rPr>
                <w:rFonts w:ascii="Calibri" w:hAnsi="Calibri" w:eastAsia="Calibri"/>
                <w:b w:val="0"/>
                <w:i w:val="0"/>
                <w:sz w:val="20"/>
              </w:rPr>
              <w:t>Booking confirmed</w:t>
            </w:r>
          </w:p>
        </w:tc>
        <w:tc>
          <w:tcPr>
            <w:tcW w:type="dxa" w:w="1805"/>
          </w:tcPr>
          <w:p>
            <w:r/>
            <w:r>
              <w:rPr>
                <w:rFonts w:ascii="Calibri" w:hAnsi="Calibri" w:eastAsia="Calibri"/>
                <w:b w:val="0"/>
                <w:i w:val="0"/>
                <w:sz w:val="20"/>
              </w:rPr>
              <w:t>Admin + correspondence service</w:t>
            </w:r>
          </w:p>
        </w:tc>
        <w:tc>
          <w:tcPr>
            <w:tcW w:type="dxa" w:w="1805"/>
          </w:tcPr>
          <w:p>
            <w:r/>
            <w:r>
              <w:rPr>
                <w:rFonts w:ascii="Calibri" w:hAnsi="Calibri" w:eastAsia="Calibri"/>
                <w:b w:val="0"/>
                <w:i w:val="0"/>
                <w:sz w:val="20"/>
              </w:rPr>
              <w:t>Letter sent; phone attempts recorded if appointment is within two weeks</w:t>
            </w:r>
          </w:p>
        </w:tc>
      </w:tr>
      <w:tr>
        <w:tc>
          <w:tcPr>
            <w:tcW w:type="dxa" w:w="1805"/>
          </w:tcPr>
          <w:p>
            <w:r/>
            <w:r>
              <w:rPr>
                <w:rFonts w:ascii="Calibri" w:hAnsi="Calibri" w:eastAsia="Calibri"/>
                <w:b w:val="0"/>
                <w:i w:val="0"/>
                <w:sz w:val="20"/>
              </w:rPr>
              <w:t>P5</w:t>
            </w:r>
          </w:p>
        </w:tc>
        <w:tc>
          <w:tcPr>
            <w:tcW w:type="dxa" w:w="1805"/>
          </w:tcPr>
          <w:p>
            <w:r/>
            <w:r>
              <w:rPr>
                <w:rFonts w:ascii="Calibri" w:hAnsi="Calibri" w:eastAsia="Calibri"/>
                <w:b w:val="0"/>
                <w:i w:val="0"/>
                <w:sz w:val="20"/>
              </w:rPr>
              <w:t>Treatment authorisation</w:t>
            </w:r>
          </w:p>
        </w:tc>
        <w:tc>
          <w:tcPr>
            <w:tcW w:type="dxa" w:w="1805"/>
          </w:tcPr>
          <w:p>
            <w:r/>
            <w:r>
              <w:rPr>
                <w:rFonts w:ascii="Calibri" w:hAnsi="Calibri" w:eastAsia="Calibri"/>
                <w:b w:val="0"/>
                <w:i w:val="0"/>
                <w:sz w:val="20"/>
              </w:rPr>
              <w:t>Patient agrees to treatment after first visit</w:t>
            </w:r>
          </w:p>
        </w:tc>
        <w:tc>
          <w:tcPr>
            <w:tcW w:type="dxa" w:w="1805"/>
          </w:tcPr>
          <w:p>
            <w:r/>
            <w:r>
              <w:rPr>
                <w:rFonts w:ascii="Calibri" w:hAnsi="Calibri" w:eastAsia="Calibri"/>
                <w:b w:val="0"/>
                <w:i w:val="0"/>
                <w:sz w:val="20"/>
              </w:rPr>
              <w:t>Consultant</w:t>
            </w:r>
          </w:p>
        </w:tc>
        <w:tc>
          <w:tcPr>
            <w:tcW w:type="dxa" w:w="1805"/>
          </w:tcPr>
          <w:p>
            <w:r/>
            <w:r>
              <w:rPr>
                <w:rFonts w:ascii="Calibri" w:hAnsi="Calibri" w:eastAsia="Calibri"/>
                <w:b w:val="0"/>
                <w:i w:val="0"/>
                <w:sz w:val="20"/>
              </w:rPr>
              <w:t>Authorised Treatment Booking Request</w:t>
            </w:r>
          </w:p>
        </w:tc>
      </w:tr>
      <w:tr>
        <w:tc>
          <w:tcPr>
            <w:tcW w:type="dxa" w:w="1805"/>
          </w:tcPr>
          <w:p>
            <w:r/>
            <w:r>
              <w:rPr>
                <w:rFonts w:ascii="Calibri" w:hAnsi="Calibri" w:eastAsia="Calibri"/>
                <w:b w:val="0"/>
                <w:i w:val="0"/>
                <w:sz w:val="20"/>
              </w:rPr>
              <w:t>P6</w:t>
            </w:r>
          </w:p>
        </w:tc>
        <w:tc>
          <w:tcPr>
            <w:tcW w:type="dxa" w:w="1805"/>
          </w:tcPr>
          <w:p>
            <w:r/>
            <w:r>
              <w:rPr>
                <w:rFonts w:ascii="Calibri" w:hAnsi="Calibri" w:eastAsia="Calibri"/>
                <w:b w:val="0"/>
                <w:i w:val="0"/>
                <w:sz w:val="20"/>
              </w:rPr>
              <w:t>Treatment / investigation booking</w:t>
            </w:r>
          </w:p>
        </w:tc>
        <w:tc>
          <w:tcPr>
            <w:tcW w:type="dxa" w:w="1805"/>
          </w:tcPr>
          <w:p>
            <w:r/>
            <w:r>
              <w:rPr>
                <w:rFonts w:ascii="Calibri" w:hAnsi="Calibri" w:eastAsia="Calibri"/>
                <w:b w:val="0"/>
                <w:i w:val="0"/>
                <w:sz w:val="20"/>
              </w:rPr>
              <w:t>Authorised request exists</w:t>
            </w:r>
          </w:p>
        </w:tc>
        <w:tc>
          <w:tcPr>
            <w:tcW w:type="dxa" w:w="1805"/>
          </w:tcPr>
          <w:p>
            <w:r/>
            <w:r>
              <w:rPr>
                <w:rFonts w:ascii="Calibri" w:hAnsi="Calibri" w:eastAsia="Calibri"/>
                <w:b w:val="0"/>
                <w:i w:val="0"/>
                <w:sz w:val="20"/>
              </w:rPr>
              <w:t>Treatment Bookings + lab/imaging/external treatment</w:t>
            </w:r>
          </w:p>
        </w:tc>
        <w:tc>
          <w:tcPr>
            <w:tcW w:type="dxa" w:w="1805"/>
          </w:tcPr>
          <w:p>
            <w:r/>
            <w:r>
              <w:rPr>
                <w:rFonts w:ascii="Calibri" w:hAnsi="Calibri" w:eastAsia="Calibri"/>
                <w:b w:val="0"/>
                <w:i w:val="0"/>
                <w:sz w:val="20"/>
              </w:rPr>
              <w:t>Booked, or pending without duplicate bookings</w:t>
            </w:r>
          </w:p>
        </w:tc>
      </w:tr>
      <w:tr>
        <w:tc>
          <w:tcPr>
            <w:tcW w:type="dxa" w:w="1805"/>
          </w:tcPr>
          <w:p>
            <w:r/>
            <w:r>
              <w:rPr>
                <w:rFonts w:ascii="Calibri" w:hAnsi="Calibri" w:eastAsia="Calibri"/>
                <w:b w:val="0"/>
                <w:i w:val="0"/>
                <w:sz w:val="20"/>
              </w:rPr>
              <w:t>P7</w:t>
            </w:r>
          </w:p>
        </w:tc>
        <w:tc>
          <w:tcPr>
            <w:tcW w:type="dxa" w:w="1805"/>
          </w:tcPr>
          <w:p>
            <w:r/>
            <w:r>
              <w:rPr>
                <w:rFonts w:ascii="Calibri" w:hAnsi="Calibri" w:eastAsia="Calibri"/>
                <w:b w:val="0"/>
                <w:i w:val="0"/>
                <w:sz w:val="20"/>
              </w:rPr>
              <w:t>Funding assessment and payment</w:t>
            </w:r>
          </w:p>
        </w:tc>
        <w:tc>
          <w:tcPr>
            <w:tcW w:type="dxa" w:w="1805"/>
          </w:tcPr>
          <w:p>
            <w:r/>
            <w:r>
              <w:rPr>
                <w:rFonts w:ascii="Calibri" w:hAnsi="Calibri" w:eastAsia="Calibri"/>
                <w:b w:val="0"/>
                <w:i w:val="0"/>
                <w:sz w:val="20"/>
              </w:rPr>
              <w:t>Treatment about to be confirmed</w:t>
            </w:r>
          </w:p>
        </w:tc>
        <w:tc>
          <w:tcPr>
            <w:tcW w:type="dxa" w:w="1805"/>
          </w:tcPr>
          <w:p>
            <w:r/>
            <w:r>
              <w:rPr>
                <w:rFonts w:ascii="Calibri" w:hAnsi="Calibri" w:eastAsia="Calibri"/>
                <w:b w:val="0"/>
                <w:i w:val="0"/>
                <w:sz w:val="20"/>
              </w:rPr>
              <w:t>Finance + payment provider</w:t>
            </w:r>
          </w:p>
        </w:tc>
        <w:tc>
          <w:tcPr>
            <w:tcW w:type="dxa" w:w="1805"/>
          </w:tcPr>
          <w:p>
            <w:r/>
            <w:r>
              <w:rPr>
                <w:rFonts w:ascii="Calibri" w:hAnsi="Calibri" w:eastAsia="Calibri"/>
                <w:b w:val="0"/>
                <w:i w:val="0"/>
                <w:sz w:val="20"/>
              </w:rPr>
              <w:t>Hospital-funded / insurer-funded / patient-paid; paid, failed, or marked for investigation</w:t>
            </w:r>
          </w:p>
        </w:tc>
      </w:tr>
      <w:tr>
        <w:tc>
          <w:tcPr>
            <w:tcW w:type="dxa" w:w="1805"/>
          </w:tcPr>
          <w:p>
            <w:r/>
            <w:r>
              <w:rPr>
                <w:rFonts w:ascii="Calibri" w:hAnsi="Calibri" w:eastAsia="Calibri"/>
                <w:b w:val="0"/>
                <w:i w:val="0"/>
                <w:sz w:val="20"/>
              </w:rPr>
              <w:t>P8</w:t>
            </w:r>
          </w:p>
        </w:tc>
        <w:tc>
          <w:tcPr>
            <w:tcW w:type="dxa" w:w="1805"/>
          </w:tcPr>
          <w:p>
            <w:r/>
            <w:r>
              <w:rPr>
                <w:rFonts w:ascii="Calibri" w:hAnsi="Calibri" w:eastAsia="Calibri"/>
                <w:b w:val="0"/>
                <w:i w:val="0"/>
                <w:sz w:val="20"/>
              </w:rPr>
              <w:t>Urgent treatment without confirmed payment</w:t>
            </w:r>
          </w:p>
        </w:tc>
        <w:tc>
          <w:tcPr>
            <w:tcW w:type="dxa" w:w="1805"/>
          </w:tcPr>
          <w:p>
            <w:r/>
            <w:r>
              <w:rPr>
                <w:rFonts w:ascii="Calibri" w:hAnsi="Calibri" w:eastAsia="Calibri"/>
                <w:b w:val="0"/>
                <w:i w:val="0"/>
                <w:sz w:val="20"/>
              </w:rPr>
              <w:t>Delay would risk the patient</w:t>
            </w:r>
          </w:p>
        </w:tc>
        <w:tc>
          <w:tcPr>
            <w:tcW w:type="dxa" w:w="1805"/>
          </w:tcPr>
          <w:p>
            <w:r/>
            <w:r>
              <w:rPr>
                <w:rFonts w:ascii="Calibri" w:hAnsi="Calibri" w:eastAsia="Calibri"/>
                <w:b w:val="0"/>
                <w:i w:val="0"/>
                <w:sz w:val="20"/>
              </w:rPr>
              <w:t>Consultant, then Finance</w:t>
            </w:r>
          </w:p>
        </w:tc>
        <w:tc>
          <w:tcPr>
            <w:tcW w:type="dxa" w:w="1805"/>
          </w:tcPr>
          <w:p>
            <w:r/>
            <w:r>
              <w:rPr>
                <w:rFonts w:ascii="Calibri" w:hAnsi="Calibri" w:eastAsia="Calibri"/>
                <w:b w:val="0"/>
                <w:i w:val="0"/>
                <w:sz w:val="20"/>
              </w:rPr>
              <w:t>Treatment proceeds; reason recorded; Finance follows up</w:t>
            </w:r>
          </w:p>
        </w:tc>
      </w:tr>
      <w:tr>
        <w:tc>
          <w:tcPr>
            <w:tcW w:type="dxa" w:w="1805"/>
          </w:tcPr>
          <w:p>
            <w:r/>
            <w:r>
              <w:rPr>
                <w:rFonts w:ascii="Calibri" w:hAnsi="Calibri" w:eastAsia="Calibri"/>
                <w:b w:val="0"/>
                <w:i w:val="0"/>
                <w:sz w:val="20"/>
              </w:rPr>
              <w:t>P9</w:t>
            </w:r>
          </w:p>
        </w:tc>
        <w:tc>
          <w:tcPr>
            <w:tcW w:type="dxa" w:w="1805"/>
          </w:tcPr>
          <w:p>
            <w:r/>
            <w:r>
              <w:rPr>
                <w:rFonts w:ascii="Calibri" w:hAnsi="Calibri" w:eastAsia="Calibri"/>
                <w:b w:val="0"/>
                <w:i w:val="0"/>
                <w:sz w:val="20"/>
              </w:rPr>
              <w:t>Clinic letter authoring and distribution</w:t>
            </w:r>
          </w:p>
        </w:tc>
        <w:tc>
          <w:tcPr>
            <w:tcW w:type="dxa" w:w="1805"/>
          </w:tcPr>
          <w:p>
            <w:r/>
            <w:r>
              <w:rPr>
                <w:rFonts w:ascii="Calibri" w:hAnsi="Calibri" w:eastAsia="Calibri"/>
                <w:b w:val="0"/>
                <w:i w:val="0"/>
                <w:sz w:val="20"/>
              </w:rPr>
              <w:t>After appointment</w:t>
            </w:r>
          </w:p>
        </w:tc>
        <w:tc>
          <w:tcPr>
            <w:tcW w:type="dxa" w:w="1805"/>
          </w:tcPr>
          <w:p>
            <w:r/>
            <w:r>
              <w:rPr>
                <w:rFonts w:ascii="Calibri" w:hAnsi="Calibri" w:eastAsia="Calibri"/>
                <w:b w:val="0"/>
                <w:i w:val="0"/>
                <w:sz w:val="20"/>
              </w:rPr>
              <w:t>Consultant (content) + Secretaries (dispatch)</w:t>
            </w:r>
          </w:p>
        </w:tc>
        <w:tc>
          <w:tcPr>
            <w:tcW w:type="dxa" w:w="1805"/>
          </w:tcPr>
          <w:p>
            <w:r/>
            <w:r>
              <w:rPr>
                <w:rFonts w:ascii="Calibri" w:hAnsi="Calibri" w:eastAsia="Calibri"/>
                <w:b w:val="0"/>
                <w:i w:val="0"/>
                <w:sz w:val="20"/>
              </w:rPr>
              <w:t>Approved letter sent; delay/escalation if &gt;7 days / ~1 month / ~3 months</w:t>
            </w:r>
          </w:p>
        </w:tc>
      </w:tr>
      <w:tr>
        <w:tc>
          <w:tcPr>
            <w:tcW w:type="dxa" w:w="1805"/>
          </w:tcPr>
          <w:p>
            <w:r/>
            <w:r>
              <w:rPr>
                <w:rFonts w:ascii="Calibri" w:hAnsi="Calibri" w:eastAsia="Calibri"/>
                <w:b w:val="0"/>
                <w:i w:val="0"/>
                <w:sz w:val="20"/>
              </w:rPr>
              <w:t>P10</w:t>
            </w:r>
          </w:p>
        </w:tc>
        <w:tc>
          <w:tcPr>
            <w:tcW w:type="dxa" w:w="1805"/>
          </w:tcPr>
          <w:p>
            <w:r/>
            <w:r>
              <w:rPr>
                <w:rFonts w:ascii="Calibri" w:hAnsi="Calibri" w:eastAsia="Calibri"/>
                <w:b w:val="0"/>
                <w:i w:val="0"/>
                <w:sz w:val="20"/>
              </w:rPr>
              <w:t>Enquiry handling</w:t>
            </w:r>
          </w:p>
        </w:tc>
        <w:tc>
          <w:tcPr>
            <w:tcW w:type="dxa" w:w="1805"/>
          </w:tcPr>
          <w:p>
            <w:r/>
            <w:r>
              <w:rPr>
                <w:rFonts w:ascii="Calibri" w:hAnsi="Calibri" w:eastAsia="Calibri"/>
                <w:b w:val="0"/>
                <w:i w:val="0"/>
                <w:sz w:val="20"/>
              </w:rPr>
              <w:t>Patient or referrer calls</w:t>
            </w:r>
          </w:p>
        </w:tc>
        <w:tc>
          <w:tcPr>
            <w:tcW w:type="dxa" w:w="1805"/>
          </w:tcPr>
          <w:p>
            <w:r/>
            <w:r>
              <w:rPr>
                <w:rFonts w:ascii="Calibri" w:hAnsi="Calibri" w:eastAsia="Calibri"/>
                <w:b w:val="0"/>
                <w:i w:val="0"/>
                <w:sz w:val="20"/>
              </w:rPr>
              <w:t>Call Handling, then Admin / Finance / CNS</w:t>
            </w:r>
          </w:p>
        </w:tc>
        <w:tc>
          <w:tcPr>
            <w:tcW w:type="dxa" w:w="1805"/>
          </w:tcPr>
          <w:p>
            <w:r/>
            <w:r>
              <w:rPr>
                <w:rFonts w:ascii="Calibri" w:hAnsi="Calibri" w:eastAsia="Calibri"/>
                <w:b w:val="0"/>
                <w:i w:val="0"/>
                <w:sz w:val="20"/>
              </w:rPr>
              <w:t>Logged, routed; handler must not diagnose</w:t>
            </w:r>
          </w:p>
        </w:tc>
      </w:tr>
      <w:tr>
        <w:tc>
          <w:tcPr>
            <w:tcW w:type="dxa" w:w="1805"/>
          </w:tcPr>
          <w:p>
            <w:r/>
            <w:r>
              <w:rPr>
                <w:rFonts w:ascii="Calibri" w:hAnsi="Calibri" w:eastAsia="Calibri"/>
                <w:b w:val="0"/>
                <w:i w:val="0"/>
                <w:sz w:val="20"/>
              </w:rPr>
              <w:t>P11</w:t>
            </w:r>
          </w:p>
        </w:tc>
        <w:tc>
          <w:tcPr>
            <w:tcW w:type="dxa" w:w="1805"/>
          </w:tcPr>
          <w:p>
            <w:r/>
            <w:r>
              <w:rPr>
                <w:rFonts w:ascii="Calibri" w:hAnsi="Calibri" w:eastAsia="Calibri"/>
                <w:b w:val="0"/>
                <w:i w:val="0"/>
                <w:sz w:val="20"/>
              </w:rPr>
              <w:t>Treatment modification</w:t>
            </w:r>
          </w:p>
        </w:tc>
        <w:tc>
          <w:tcPr>
            <w:tcW w:type="dxa" w:w="1805"/>
          </w:tcPr>
          <w:p>
            <w:r/>
            <w:r>
              <w:rPr>
                <w:rFonts w:ascii="Calibri" w:hAnsi="Calibri" w:eastAsia="Calibri"/>
                <w:b w:val="0"/>
                <w:i w:val="0"/>
                <w:sz w:val="20"/>
              </w:rPr>
              <w:t>Clinical need to change plan</w:t>
            </w:r>
          </w:p>
        </w:tc>
        <w:tc>
          <w:tcPr>
            <w:tcW w:type="dxa" w:w="1805"/>
          </w:tcPr>
          <w:p>
            <w:r/>
            <w:r>
              <w:rPr>
                <w:rFonts w:ascii="Calibri" w:hAnsi="Calibri" w:eastAsia="Calibri"/>
                <w:b w:val="0"/>
                <w:i w:val="0"/>
                <w:sz w:val="20"/>
              </w:rPr>
              <w:t>Consultant; Finance if money is affected</w:t>
            </w:r>
          </w:p>
        </w:tc>
        <w:tc>
          <w:tcPr>
            <w:tcW w:type="dxa" w:w="1805"/>
          </w:tcPr>
          <w:p>
            <w:r/>
            <w:r>
              <w:rPr>
                <w:rFonts w:ascii="Calibri" w:hAnsi="Calibri" w:eastAsia="Calibri"/>
                <w:b w:val="0"/>
                <w:i w:val="0"/>
                <w:sz w:val="20"/>
              </w:rPr>
              <w:t>Formal Modification Request; verbal/email change rejected</w:t>
            </w:r>
          </w:p>
        </w:tc>
      </w:tr>
      <w:tr>
        <w:tc>
          <w:tcPr>
            <w:tcW w:type="dxa" w:w="1805"/>
          </w:tcPr>
          <w:p>
            <w:r/>
            <w:r>
              <w:rPr>
                <w:rFonts w:ascii="Calibri" w:hAnsi="Calibri" w:eastAsia="Calibri"/>
                <w:b w:val="0"/>
                <w:i w:val="0"/>
                <w:sz w:val="20"/>
              </w:rPr>
              <w:t>P12</w:t>
            </w:r>
          </w:p>
        </w:tc>
        <w:tc>
          <w:tcPr>
            <w:tcW w:type="dxa" w:w="1805"/>
          </w:tcPr>
          <w:p>
            <w:r/>
            <w:r>
              <w:rPr>
                <w:rFonts w:ascii="Calibri" w:hAnsi="Calibri" w:eastAsia="Calibri"/>
                <w:b w:val="0"/>
                <w:i w:val="0"/>
                <w:sz w:val="20"/>
              </w:rPr>
              <w:t>Follow-up booking and DNA / cancellation</w:t>
            </w:r>
          </w:p>
        </w:tc>
        <w:tc>
          <w:tcPr>
            <w:tcW w:type="dxa" w:w="1805"/>
          </w:tcPr>
          <w:p>
            <w:r/>
            <w:r>
              <w:rPr>
                <w:rFonts w:ascii="Calibri" w:hAnsi="Calibri" w:eastAsia="Calibri"/>
                <w:b w:val="0"/>
                <w:i w:val="0"/>
                <w:sz w:val="20"/>
              </w:rPr>
              <w:t>Review due, or patient cancels / does not attend</w:t>
            </w:r>
          </w:p>
        </w:tc>
        <w:tc>
          <w:tcPr>
            <w:tcW w:type="dxa" w:w="1805"/>
          </w:tcPr>
          <w:p>
            <w:r/>
            <w:r>
              <w:rPr>
                <w:rFonts w:ascii="Calibri" w:hAnsi="Calibri" w:eastAsia="Calibri"/>
                <w:b w:val="0"/>
                <w:i w:val="0"/>
                <w:sz w:val="20"/>
              </w:rPr>
              <w:t>Bookings + clinical + Finance if paid</w:t>
            </w:r>
          </w:p>
        </w:tc>
        <w:tc>
          <w:tcPr>
            <w:tcW w:type="dxa" w:w="1805"/>
          </w:tcPr>
          <w:p>
            <w:r/>
            <w:r>
              <w:rPr>
                <w:rFonts w:ascii="Calibri" w:hAnsi="Calibri" w:eastAsia="Calibri"/>
                <w:b w:val="0"/>
                <w:i w:val="0"/>
                <w:sz w:val="20"/>
              </w:rPr>
              <w:t>Slot booked or pending; DNA outcome recorded</w:t>
            </w:r>
          </w:p>
        </w:tc>
      </w:tr>
      <w:tr>
        <w:tc>
          <w:tcPr>
            <w:tcW w:type="dxa" w:w="1805"/>
          </w:tcPr>
          <w:p>
            <w:r/>
            <w:r>
              <w:rPr>
                <w:rFonts w:ascii="Calibri" w:hAnsi="Calibri" w:eastAsia="Calibri"/>
                <w:b w:val="0"/>
                <w:i w:val="0"/>
                <w:sz w:val="20"/>
              </w:rPr>
              <w:t>P13</w:t>
            </w:r>
          </w:p>
        </w:tc>
        <w:tc>
          <w:tcPr>
            <w:tcW w:type="dxa" w:w="1805"/>
          </w:tcPr>
          <w:p>
            <w:r/>
            <w:r>
              <w:rPr>
                <w:rFonts w:ascii="Calibri" w:hAnsi="Calibri" w:eastAsia="Calibri"/>
                <w:b w:val="0"/>
                <w:i w:val="0"/>
                <w:sz w:val="20"/>
              </w:rPr>
              <w:t>Audit, identity check and management reporting</w:t>
            </w:r>
          </w:p>
        </w:tc>
        <w:tc>
          <w:tcPr>
            <w:tcW w:type="dxa" w:w="1805"/>
          </w:tcPr>
          <w:p>
            <w:r/>
            <w:r>
              <w:rPr>
                <w:rFonts w:ascii="Calibri" w:hAnsi="Calibri" w:eastAsia="Calibri"/>
                <w:b w:val="0"/>
                <w:i w:val="0"/>
                <w:sz w:val="20"/>
              </w:rPr>
              <w:t>Cross-cutting; runs with every significant action</w:t>
            </w:r>
          </w:p>
        </w:tc>
        <w:tc>
          <w:tcPr>
            <w:tcW w:type="dxa" w:w="1805"/>
          </w:tcPr>
          <w:p>
            <w:r/>
            <w:r>
              <w:rPr>
                <w:rFonts w:ascii="Calibri" w:hAnsi="Calibri" w:eastAsia="Calibri"/>
                <w:b w:val="0"/>
                <w:i w:val="0"/>
                <w:sz w:val="20"/>
              </w:rPr>
              <w:t>System + Admin Management</w:t>
            </w:r>
          </w:p>
        </w:tc>
        <w:tc>
          <w:tcPr>
            <w:tcW w:type="dxa" w:w="1805"/>
          </w:tcPr>
          <w:p>
            <w:r/>
            <w:r>
              <w:rPr>
                <w:rFonts w:ascii="Calibri" w:hAnsi="Calibri" w:eastAsia="Calibri"/>
                <w:b w:val="0"/>
                <w:i w:val="0"/>
                <w:sz w:val="20"/>
              </w:rPr>
              <w:t>Who / when / what is recorded; ordinary users cannot edit audit</w:t>
            </w:r>
          </w:p>
        </w:tc>
      </w:tr>
    </w:tbl>
    <w:p w:rsidRPr="005543F5" w:rsidR="005543F5" w:rsidP="3AC16587" w:rsidRDefault="005543F5" w14:paraId="08DACAE0" w14:textId="765805FB">
      <w:pPr>
        <w:pStyle w:val="ListParagraph"/>
        <w:numPr>
          <w:ilvl w:val="0"/>
          <w:numId w:val="6"/>
        </w:numPr>
        <w:spacing w:before="240" w:beforeAutospacing="off" w:after="240" w:afterAutospacing="off" w:line="259" w:lineRule="auto"/>
        <w:ind w:right="0"/>
        <w:jc w:val="left"/>
        <w:rPr>
          <w:rFonts w:ascii="Calibri" w:hAnsi="Calibri" w:eastAsia="Times New Roman" w:cs="Calibri" w:asciiTheme="minorAscii" w:hAnsiTheme="minorAscii" w:eastAsiaTheme="minorAscii" w:cstheme="minorBidi"/>
          <w:noProof w:val="0"/>
          <w:color w:val="auto"/>
          <w:sz w:val="28"/>
          <w:szCs w:val="28"/>
          <w:lang w:val="en-GB" w:eastAsia="en-GB" w:bidi="ar-SA"/>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Identify</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the dependencies among the </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business </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processes</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w:t>
      </w:r>
    </w:p>
    <w:p>
      <w:r>
        <w:rPr>
          <w:rFonts w:ascii="Calibri" w:hAnsi="Calibri" w:eastAsia="Calibri"/>
          <w:b w:val="0"/>
          <w:i w:val="0"/>
          <w:sz w:val="22"/>
        </w:rPr>
        <w:t>We treat these as distinct processes because each has its own trigger, owner and gate. They form one patient pathway, but they are not one undifferentiated flow.</w:t>
      </w:r>
    </w:p>
    <w:p>
      <w:r>
        <w:rPr>
          <w:rFonts w:ascii="Calibri" w:hAnsi="Calibri" w:eastAsia="Calibri"/>
          <w:b w:val="0"/>
          <w:i w:val="0"/>
          <w:sz w:val="22"/>
        </w:rPr>
        <w:t>Dependencies (from the case rules, not convenience): P1 -&gt; P2. If P2 = reject/redirect, stop (no New Patient Appointment). If P2 = request more information, return to P1. If P2 = accept -&gt; P3 New Patient Appointment -&gt; P4 notification, then first visit -&gt; P5 treatment authorisation -&gt; P6 treatment booking, P7 funding/payment (P8 urgent treat-first only if delay risks the patient), P9 clinic letter, P11 formal modification. P10 call handling follows the first visit. P12 follow-up/DNA. P13 audit sits on P2, P5, P7, P8, P9 and P11; it does not replace them.</w:t>
      </w:r>
    </w:p>
    <w:p>
      <w:r>
        <w:rPr>
          <w:rFonts w:ascii="Calibri" w:hAnsi="Calibri" w:eastAsia="Calibri"/>
          <w:b w:val="0"/>
          <w:i w:val="0"/>
          <w:sz w:val="22"/>
        </w:rPr>
        <w:t>Hard gates: secretaries check papers only and do not decide acceptance; a New Patient Appointment is allowed only after an authorised Consultant accepts; administrative staff must not process an unauthorised treatment request; funding source must be known before a treatment appointment is confirmed; if the payment provider succeeds but the hospital has no receipt, mark for investigation and do not auto-charge again; a clinic letter cannot be sent until the Consultant approves it; call handlers must not diagnose; verbal or email changes to treatment are invalid.</w:t>
      </w:r>
    </w:p>
    <w:p>
      <w:r>
        <w:rPr>
          <w:rFonts w:ascii="Calibri" w:hAnsi="Calibri" w:eastAsia="Calibri"/>
          <w:b w:val="0"/>
          <w:i w:val="0"/>
          <w:sz w:val="22"/>
        </w:rPr>
        <w:t>External dependencies: scheduling (P3/P6/P12) remains pending with no duplicate appointment if unavailable; correspondence (P4/P9) retries and keeps send status; payment provider (P7/P8) allows retry on failure but marks “investigation” and does not auto-charge again if the hospital has no receipt; lab/imaging/external treatment (P6) pending + notify; referrer/insurer (P1/P2/P7) block the next gate if the pack or approval is missing.</w:t>
      </w:r>
    </w:p>
    <w:p w:rsidRPr="005543F5" w:rsidR="005543F5" w:rsidP="3AC16587" w:rsidRDefault="005543F5" w14:paraId="2F5AB67D" w14:textId="50AAFFBA">
      <w:pPr>
        <w:pStyle w:val="Normal"/>
      </w:pPr>
    </w:p>
    <w:sectPr w:rsidR="005543F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MT">
    <w:altName w:val="Cambria"/>
    <w:panose1 w:val="020B0604020202020204"/>
    <w:charset w:val="00"/>
    <w:family w:val="roman"/>
    <w:notTrueType/>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166c1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b7a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2d4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BF2DA8"/>
    <w:multiLevelType w:val="multilevel"/>
    <w:tmpl w:val="8DEC1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EAB1241"/>
    <w:multiLevelType w:val="multilevel"/>
    <w:tmpl w:val="E12CE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459246A7"/>
    <w:multiLevelType w:val="multilevel"/>
    <w:tmpl w:val="5F64D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6">
    <w:abstractNumId w:val="5"/>
  </w:num>
  <w:num w:numId="5">
    <w:abstractNumId w:val="4"/>
  </w:num>
  <w:num w:numId="4">
    <w:abstractNumId w:val="3"/>
  </w:num>
  <w:num w:numId="1" w16cid:durableId="10376671">
    <w:abstractNumId w:val="2"/>
  </w:num>
  <w:num w:numId="2" w16cid:durableId="1093084457">
    <w:abstractNumId w:val="0"/>
  </w:num>
  <w:num w:numId="3" w16cid:durableId="1542580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62B32"/>
    <w:rsid w:val="001B42FE"/>
    <w:rsid w:val="002808B2"/>
    <w:rsid w:val="00286A75"/>
    <w:rsid w:val="0031552C"/>
    <w:rsid w:val="00461789"/>
    <w:rsid w:val="00526A2A"/>
    <w:rsid w:val="005543F5"/>
    <w:rsid w:val="00590B23"/>
    <w:rsid w:val="00790815"/>
    <w:rsid w:val="00833BDC"/>
    <w:rsid w:val="00AC3290"/>
    <w:rsid w:val="00AD0703"/>
    <w:rsid w:val="00AD412B"/>
    <w:rsid w:val="00B22886"/>
    <w:rsid w:val="00D857D2"/>
    <w:rsid w:val="00D93DE7"/>
    <w:rsid w:val="00FD7726"/>
    <w:rsid w:val="02FA1E8C"/>
    <w:rsid w:val="0D1169C4"/>
    <w:rsid w:val="1BAE1A12"/>
    <w:rsid w:val="1FD7A22F"/>
    <w:rsid w:val="262DE032"/>
    <w:rsid w:val="26AF3C01"/>
    <w:rsid w:val="2991F970"/>
    <w:rsid w:val="33E77889"/>
    <w:rsid w:val="3925DE30"/>
    <w:rsid w:val="3AC16587"/>
    <w:rsid w:val="460FBE6C"/>
    <w:rsid w:val="4834F0A6"/>
    <w:rsid w:val="494B4C9B"/>
    <w:rsid w:val="5475628C"/>
    <w:rsid w:val="5EF5FFF5"/>
    <w:rsid w:val="73E8D856"/>
    <w:rsid w:val="741D9E5E"/>
    <w:rsid w:val="7B4B4CD4"/>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49F"/>
  <w15:chartTrackingRefBased/>
  <w15:docId w15:val="{8219848E-1FF9-0B40-A363-ECBA66477C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D412B"/>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412B"/>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5543F5"/>
    <w:pPr>
      <w:spacing w:before="100" w:beforeAutospacing="1" w:after="100" w:afterAutospacing="1"/>
    </w:pPr>
    <w:rPr>
      <w:rFonts w:ascii="Times New Roman" w:hAnsi="Times New Roman" w:eastAsia="Times New Roman" w:cs="Times New Roman"/>
      <w:lang w:eastAsia="en-GB"/>
    </w:rPr>
  </w:style>
  <w:style w:type="paragraph" w:styleId="Caption">
    <w:name w:val="caption"/>
    <w:basedOn w:val="Normal"/>
    <w:next w:val="Normal"/>
    <w:uiPriority w:val="35"/>
    <w:unhideWhenUsed/>
    <w:qFormat/>
    <w:rsid w:val="005543F5"/>
    <w:pPr>
      <w:spacing w:after="200"/>
    </w:pPr>
    <w:rPr>
      <w:i/>
      <w:iCs/>
      <w:color w:val="44546A" w:themeColor="text2"/>
      <w:sz w:val="18"/>
      <w:szCs w:val="18"/>
    </w:rPr>
  </w:style>
  <w:style w:type="paragraph" w:styleId="ListParagraph">
    <w:name w:val="List Paragraph"/>
    <w:basedOn w:val="Normal"/>
    <w:uiPriority w:val="34"/>
    <w:qFormat/>
    <w:rsid w:val="005543F5"/>
    <w:pPr>
      <w:ind w:left="720"/>
      <w:contextualSpacing/>
    </w:pPr>
  </w:style>
  <w:style w:type="character" w:styleId="Heading1Char" w:customStyle="1">
    <w:name w:val="Heading 1 Char"/>
    <w:basedOn w:val="DefaultParagraphFont"/>
    <w:link w:val="Heading1"/>
    <w:uiPriority w:val="9"/>
    <w:rsid w:val="00AD412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D412B"/>
    <w:rPr>
      <w:rFonts w:asciiTheme="majorHAnsi" w:hAnsiTheme="majorHAnsi" w:eastAsiaTheme="majorEastAsia" w:cstheme="majorBidi"/>
      <w:color w:val="2F5496"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Dilshan Jayatilake</dc:creator>
  <keywords/>
  <dc:description/>
  <lastModifiedBy>Dilshan Jayatilake</lastModifiedBy>
  <revision>17</revision>
  <dcterms:created xsi:type="dcterms:W3CDTF">2022-10-13T10:27:00.0000000Z</dcterms:created>
  <dcterms:modified xsi:type="dcterms:W3CDTF">2024-10-09T12:43:40.1900043Z</dcterms:modified>
</coreProperties>
</file>