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00B54" w14:textId="77777777" w:rsidR="00F75B94" w:rsidRPr="00F13020" w:rsidRDefault="00F75B94" w:rsidP="00A1486F">
      <w:pPr>
        <w:pStyle w:val="Heading1"/>
        <w:rPr>
          <w:rFonts w:ascii="Calibri" w:hAnsi="Calibri" w:cs="Calibri"/>
          <w:sz w:val="44"/>
          <w:szCs w:val="44"/>
          <w:lang w:val="en-GB"/>
        </w:rPr>
      </w:pPr>
      <w:r w:rsidRPr="00F13020">
        <w:rPr>
          <w:rStyle w:val="Strong"/>
          <w:rFonts w:ascii="Calibri" w:hAnsi="Calibri" w:cs="Calibri"/>
          <w:b w:val="0"/>
          <w:bCs w:val="0"/>
          <w:sz w:val="44"/>
          <w:szCs w:val="44"/>
          <w:lang w:val="en-GB"/>
        </w:rPr>
        <w:t>Case Study: Hospital Patient Referral, Treatment and Administration System</w:t>
      </w:r>
    </w:p>
    <w:p w14:paraId="045F6CF6"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A specialist hospital service manages patients from the point at which they are referred by a General Practitioner or another hospital through consultation, diagnosis, treatment, follow-up care and ongoing communication. The service involves Medical Secretaries, the Outpatient Bookings Team, the Call Handling Team, the Clinical Nurse Specialist Team, the Clinical Nurse Specialist Administrative Support Team, the Treatment and Chemotherapy Bookings Team, Patient Pathway Coordinators, Consultants, other clinical professionals, the Finance Team and the Administrative Management Team. These teams must exchange accurate and timely information while maintaining a clear distinction between clinical decisions, administrative responsibilities and financial activities.</w:t>
      </w:r>
    </w:p>
    <w:p w14:paraId="5BE3CBDE"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At present, information is transferred through a combination of existing hospital systems, electronic forms, emails, telephone calls, letters and manually maintained records. This makes it difficult to monitor the progress of patients, identify delays and maintain a complete audit trail. The hospital therefore intends to introduce a Hospital Patient Administration System to support the patient pathway and improve coordination between the teams.</w:t>
      </w:r>
    </w:p>
    <w:p w14:paraId="4D10EDD2"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When a new patient is referred to the specialist service, the referral is initially received by the Medical Secretaries. They check whether it contains the expected supporting information, such as previous clinic letters, investigation results, diagnostic reports and other relevant clinical documentation. Medical Secretaries may identify missing information and request it from the referring organisation, but they are not permitted to assess the patient’s clinical suitability or decide whether the referral should be accepted.</w:t>
      </w:r>
    </w:p>
    <w:p w14:paraId="1D8079E4"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Once the available documents have been checked, the referral is sent to the appropriate Consultant for clinical review. The Consultant may accept the referral, reject it, request further information or redirect it to another specialist service. The reason for the decision and the identity of the person making it must be recorded. A New Patient Appointment may only be arranged after an authorised Consultant has accepted the referral.</w:t>
      </w:r>
    </w:p>
    <w:p w14:paraId="64D0E92E"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lastRenderedPageBreak/>
        <w:t>When the referral is accepted, the Outpatient Bookings Team receives a booking request containing the required speciality, appointment priority, preferred timeframe and any relevant patient requirements. The team must identify an appropriate appointment using the hospital’s external scheduling service and confirm the booking within the Hospital Patient Administration System. The patient is normally informed by a letter sent through an external correspondence service. However, if the appointment is due to take place within the following two weeks, the patient must also be contacted by telephone.</w:t>
      </w:r>
    </w:p>
    <w:p w14:paraId="3D8E833F"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Each contact attempt and its outcome must be recorded because a telephone call may be unanswered, the contact number may be </w:t>
      </w:r>
      <w:proofErr w:type="gramStart"/>
      <w:r w:rsidRPr="00F13020">
        <w:rPr>
          <w:rFonts w:ascii="Calibri" w:hAnsi="Calibri" w:cs="Calibri"/>
          <w:color w:val="000000"/>
          <w:sz w:val="28"/>
          <w:szCs w:val="28"/>
          <w:lang w:val="en-GB"/>
        </w:rPr>
        <w:t>incorrect</w:t>
      </w:r>
      <w:proofErr w:type="gramEnd"/>
      <w:r w:rsidRPr="00F13020">
        <w:rPr>
          <w:rFonts w:ascii="Calibri" w:hAnsi="Calibri" w:cs="Calibri"/>
          <w:color w:val="000000"/>
          <w:sz w:val="28"/>
          <w:szCs w:val="28"/>
          <w:lang w:val="en-GB"/>
        </w:rPr>
        <w:t xml:space="preserve"> or the patient may request an alternative appointment. The system must also account for urgent referrals that cannot wait for normal administrative timescales and situations in which no suitable appointment is available within the period requested by the Consultant.</w:t>
      </w:r>
    </w:p>
    <w:p w14:paraId="1F4DD331"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When the patient attends the New Patient Appointment, the Consultant and the relevant clinical team assess the patient, discuss the diagnosis and explain any available treatment options. If the patient agrees to proceed with treatment, the Consultant records the patient’s consent and creates an authorised Treatment Booking Request. The request identifies the proposed treatment, the required start date, the number and frequency of treatment cycles, any reviews required between cycles and any special resources that may be needed. A request that has not been completed and authorised by an appropriate clinical professional must not be processed by administrative staff.</w:t>
      </w:r>
    </w:p>
    <w:p w14:paraId="07ABC756"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The Treatment or Chemotherapy Bookings Team receives the authorised request and coordinates the necessary appointments. Some appointments can be arranged using hospital facilities, while others may depend on availability obtained from external treatment, laboratory, imaging or scheduling services. If an external service is temporarily unavailable, the booking must remain pending, the responsible team must be </w:t>
      </w:r>
      <w:proofErr w:type="gramStart"/>
      <w:r w:rsidRPr="00F13020">
        <w:rPr>
          <w:rFonts w:ascii="Calibri" w:hAnsi="Calibri" w:cs="Calibri"/>
          <w:color w:val="000000"/>
          <w:sz w:val="28"/>
          <w:szCs w:val="28"/>
          <w:lang w:val="en-GB"/>
        </w:rPr>
        <w:t>notified</w:t>
      </w:r>
      <w:proofErr w:type="gramEnd"/>
      <w:r w:rsidRPr="00F13020">
        <w:rPr>
          <w:rFonts w:ascii="Calibri" w:hAnsi="Calibri" w:cs="Calibri"/>
          <w:color w:val="000000"/>
          <w:sz w:val="28"/>
          <w:szCs w:val="28"/>
          <w:lang w:val="en-GB"/>
        </w:rPr>
        <w:t xml:space="preserve"> and further attempts must be recorded without creating duplicate appointments.</w:t>
      </w:r>
    </w:p>
    <w:p w14:paraId="640ADB1F"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Before a treatment appointment is confirmed, the system must determine whether the patient’s treatment is funded by the hospital, covered by an approved insurer or funding organisation, or requires payment by the patient. Most eligible patients will not be required to make a direct payment, but charges </w:t>
      </w:r>
      <w:r w:rsidRPr="00F13020">
        <w:rPr>
          <w:rFonts w:ascii="Calibri" w:hAnsi="Calibri" w:cs="Calibri"/>
          <w:color w:val="000000"/>
          <w:sz w:val="28"/>
          <w:szCs w:val="28"/>
          <w:lang w:val="en-GB"/>
        </w:rPr>
        <w:lastRenderedPageBreak/>
        <w:t>may apply to private patients, overseas visitors, optional services or treatments that are not covered by the patient’s existing funding arrangement. Where funding approval is required, the Finance Team must record the responsible funding organisation, authorisation reference, approved amount and any limitations attached to the approval.</w:t>
      </w:r>
    </w:p>
    <w:p w14:paraId="0F852CE6"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When payment is required, the Hospital Patient Administration System calculates or obtains the applicable charge and sends a secure payment request to an external Payment Service Provider. The patient may complete the payment online, by telephone with an authorised member of the Finance Team or through another approved payment channel. The external Payment Service Provider processes the transaction and returns the payment status, transaction reference, payment date and amount to the hospital system. The Hospital Patient Administration System must not store the patient’s complete card information or other unnecessary financial details.</w:t>
      </w:r>
    </w:p>
    <w:p w14:paraId="031837F8" w14:textId="6E66E703"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A treatment appointment requiring advance payment must not normally be confirmed until the payment has been successfully </w:t>
      </w:r>
      <w:r w:rsidR="00F13020" w:rsidRPr="00F13020">
        <w:rPr>
          <w:rFonts w:ascii="Calibri" w:hAnsi="Calibri" w:cs="Calibri"/>
          <w:color w:val="000000"/>
          <w:sz w:val="28"/>
          <w:szCs w:val="28"/>
          <w:lang w:val="en-GB"/>
        </w:rPr>
        <w:t>completed,</w:t>
      </w:r>
      <w:r w:rsidRPr="00F13020">
        <w:rPr>
          <w:rFonts w:ascii="Calibri" w:hAnsi="Calibri" w:cs="Calibri"/>
          <w:color w:val="000000"/>
          <w:sz w:val="28"/>
          <w:szCs w:val="28"/>
          <w:lang w:val="en-GB"/>
        </w:rPr>
        <w:t xml:space="preserve"> or an authorised exemption, funding approval or payment arrangement has been recorded. If a payment is declined, cancelled, duplicated or remains incomplete, the patient and the responsible administrative team must be notified. The system must allow another payment attempt without creating a duplicate booking or charging the patient more than once.</w:t>
      </w:r>
    </w:p>
    <w:p w14:paraId="5327D259" w14:textId="2C96F30A"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The hospital system must also handle situations in which a payment is successfully taken by the external </w:t>
      </w:r>
      <w:r w:rsidR="00F13020" w:rsidRPr="00F13020">
        <w:rPr>
          <w:rFonts w:ascii="Calibri" w:hAnsi="Calibri" w:cs="Calibri"/>
          <w:color w:val="000000"/>
          <w:sz w:val="28"/>
          <w:szCs w:val="28"/>
          <w:lang w:val="en-GB"/>
        </w:rPr>
        <w:t>provider,</w:t>
      </w:r>
      <w:r w:rsidRPr="00F13020">
        <w:rPr>
          <w:rFonts w:ascii="Calibri" w:hAnsi="Calibri" w:cs="Calibri"/>
          <w:color w:val="000000"/>
          <w:sz w:val="28"/>
          <w:szCs w:val="28"/>
          <w:lang w:val="en-GB"/>
        </w:rPr>
        <w:t xml:space="preserve"> but confirmation is not returned because of a communication failure. In such circumstances, the transaction must be marked for investigation rather than automatically requesting another payment. Clinical staff must still be able to authorise urgent treatment when delaying care would create a risk to the patient, but the reason for proceeding without confirmed payment must be recorded and referred to the Finance Team for subsequent resolution.</w:t>
      </w:r>
    </w:p>
    <w:p w14:paraId="39BD9573"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Where treatment is cancelled, postponed or changed after payment, an authorised member of the Finance Team determines whether a full or partial refund is appropriate. An approved refund request is sent to the external Payment Service Provider, and the result is recorded against the patient’s account. Clinical staff may provide information about the treatment decision but </w:t>
      </w:r>
      <w:r w:rsidRPr="00F13020">
        <w:rPr>
          <w:rFonts w:ascii="Calibri" w:hAnsi="Calibri" w:cs="Calibri"/>
          <w:color w:val="000000"/>
          <w:sz w:val="28"/>
          <w:szCs w:val="28"/>
          <w:lang w:val="en-GB"/>
        </w:rPr>
        <w:lastRenderedPageBreak/>
        <w:t>must not approve financial refunds unless they also hold the required financial authority. Similarly, members of the Finance Team must not make decisions about whether treatment is clinically necessary. The system must maintain an auditable relationship between the patient, referral, treatment request, appointment, funding decision, payment transaction and any subsequent refund while keeping clinical and financial responsibilities separate.</w:t>
      </w:r>
    </w:p>
    <w:p w14:paraId="391B2396"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A patient receiving several cycles of chemotherapy may require a clinical review and blood test before each subsequent cycle. The clinical team uses the results of these assessments to decide whether the patient is medically fit to continue, whether treatment should be delayed or whether the treatment plan should be changed. These are clinical decisions and cannot be made by the Treatment Bookings Team, Finance Team or any other administrative employee.</w:t>
      </w:r>
    </w:p>
    <w:p w14:paraId="6130FDEB"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When a clinical professional requests a change to an existing treatment schedule, an authorised Treatment Modification Request must be submitted through the system. Requests made only by email, telephone or informal communication must not be processed because the hospital requires treatment changes to be formally authorised, traceable and available for audit. However, the system must also support urgent situations in which treatment must be postponed quickly for patient-safety reasons while ensuring that the responsible clinician subsequently records and authorises the decision. Any treatment modification that affects an existing charge, funding approval or completed payment must also be referred to the Finance Team so that the financial implications can be reviewed.</w:t>
      </w:r>
    </w:p>
    <w:p w14:paraId="2F8A04B4"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Following the New Patient Appointment, the patient receives information about the Clinical Nurse Specialist Team and is given an appropriate contact number. Patients may contact this team for clinical advice, treatment-related support or information about their condition. Patients may also contact the hospital through the Call Handling Team, which must determine whether an enquiry is administrative, financial or clinical.</w:t>
      </w:r>
    </w:p>
    <w:p w14:paraId="5CE3292F"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Call handlers may answer straightforward administrative questions, such as confirming the date, time or location of an appointment, and may transfer other administrative matters to the relevant team. Payment and funding enquiries must be referred to the Finance Team when they cannot be answered using authorised information available to the call handler. Call handlers must not diagnose a condition, interpret test results, recommend treatment or provide any form of </w:t>
      </w:r>
      <w:r w:rsidRPr="00F13020">
        <w:rPr>
          <w:rFonts w:ascii="Calibri" w:hAnsi="Calibri" w:cs="Calibri"/>
          <w:color w:val="000000"/>
          <w:sz w:val="28"/>
          <w:szCs w:val="28"/>
          <w:lang w:val="en-GB"/>
        </w:rPr>
        <w:lastRenderedPageBreak/>
        <w:t>clinical advice. Enquiries involving clinical matters must be referred to an appropriately qualified member of the Clinical Nurse Specialist Team or another authorised clinical professional.</w:t>
      </w:r>
    </w:p>
    <w:p w14:paraId="11AFC7F8"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Every enquiry must be recorded, classified, assigned a priority and routed to an appropriate team. The record should show when the enquiry was received, who handled it, which team was assigned responsibility, any response provided and whether the matter has been resolved. Urgent clinical concerns must be highlighted immediately, although the hospital has not yet agreed a complete set of rules for determining urgency. This will require further investigation with the relevant stakeholders.</w:t>
      </w:r>
    </w:p>
    <w:p w14:paraId="1F972B0B"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Following every consultation, the Consultant prepares a Clinic Letter describing the consultation, diagnosis, clinical findings, treatment decisions, follow-up arrangements and any instructions that must be communicated. The first such letter is known as the New Patient Clinic Letter. The Consultant also identifies the intended recipients, who may include the patient, the patient’s GP, another hospital or healthcare provider and any other appropriate professional.</w:t>
      </w:r>
    </w:p>
    <w:p w14:paraId="055B1672"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The Consultant remains responsible for the clinical content of the letter and must approve it before it can be distributed. Once approved, the letter becomes available to the Medical Secretaries, who perform the necessary administrative checks, confirm the recipients and arrange its distribution through the approved communication channels. Administrative staff may correct formatting and clear administrative errors but must not change the clinical meaning of the letter. Any suspected clinical error must be returned to the Consultant for review.</w:t>
      </w:r>
    </w:p>
    <w:p w14:paraId="1278D7E7"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Clinic letters should be completed, approved, processed and sent within seven days of the relevant appointment so that recipients normally receive the correspondence within approximately two weeks. The system must record the appointment date, the date on which the Consultant started and completed the letter, the approval date, the date on which the Medical Secretary processed it and the date and method of distribution.</w:t>
      </w:r>
    </w:p>
    <w:p w14:paraId="40FF6D25"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If a letter remains incomplete or unapproved more than seven days after the appointment, it is considered delayed and must be included in pathway monitoring. Patient Pathway Coordinators review outstanding correspondence and issue weekly reminders to Consultants. If a letter remains outstanding for </w:t>
      </w:r>
      <w:r w:rsidRPr="00F13020">
        <w:rPr>
          <w:rFonts w:ascii="Calibri" w:hAnsi="Calibri" w:cs="Calibri"/>
          <w:color w:val="000000"/>
          <w:sz w:val="28"/>
          <w:szCs w:val="28"/>
          <w:lang w:val="en-GB"/>
        </w:rPr>
        <w:lastRenderedPageBreak/>
        <w:t>more than one month, the matter is escalated to the Administrative Manager, who contacts the responsible Consultant. If it remains outstanding for more than three months, it is escalated to the appropriate higher management team.</w:t>
      </w:r>
    </w:p>
    <w:p w14:paraId="220AEF12"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The system must prevent repeated reminders from being generated unnecessarily after a letter has been completed, support authorised staff in recording valid reasons for delays and retain a full history of reminders, responses and escalations.</w:t>
      </w:r>
    </w:p>
    <w:p w14:paraId="18825C15" w14:textId="4FC7E70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Following a consultation or treatment review, a </w:t>
      </w:r>
      <w:r w:rsidR="00F13020" w:rsidRPr="00F13020">
        <w:rPr>
          <w:rFonts w:ascii="Calibri" w:hAnsi="Calibri" w:cs="Calibri"/>
          <w:color w:val="000000"/>
          <w:sz w:val="28"/>
          <w:szCs w:val="28"/>
          <w:lang w:val="en-GB"/>
        </w:rPr>
        <w:t>consultant</w:t>
      </w:r>
      <w:r w:rsidRPr="00F13020">
        <w:rPr>
          <w:rFonts w:ascii="Calibri" w:hAnsi="Calibri" w:cs="Calibri"/>
          <w:color w:val="000000"/>
          <w:sz w:val="28"/>
          <w:szCs w:val="28"/>
          <w:lang w:val="en-GB"/>
        </w:rPr>
        <w:t xml:space="preserve"> or another authorised clinical professional may request a follow-up appointment. The request is sent to the Outpatient Bookings Team and specifies the period within which the patient should be reviewed. The team arranges the appointment using the external scheduling service and informs the patient through the appropriate communication channel. If an appointment cannot be found within the requested timeframe, the case must be highlighted and referred to the relevant pathway team rather than being silently booked outside the clinically requested period.</w:t>
      </w:r>
    </w:p>
    <w:p w14:paraId="5C136399"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Patients may cancel, decline or fail to attend appointments. The hospital must record these events and decide whether another appointment should be offered, whether the clinical team should review the patient’s pathway or whether the referring organisation should be informed. If a paid appointment is cancelled or rescheduled, the case must also be referred to the Finance Team to determine whether the payment should be retained, transferred to another appointment or refunded. Although administrative staff may coordinate these activities, decisions about whether a patient can continue treatment, whether treatment should be delayed and whether a patient should be discharged remain the responsibility of authorised clinical professionals.</w:t>
      </w:r>
    </w:p>
    <w:p w14:paraId="6EE0D9D8"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Because the proposed system will process sensitive personal, clinical and financial information, staff must only be able to access the information required for their roles. The system must authenticate users, apply role-based access controls, protect information exchanged with external services and record significant actions, including access to patient records, referral decisions, appointment changes, clinical authorisations, correspondence approvals, treatment modifications, payment requests, funding decisions and refunds.</w:t>
      </w:r>
    </w:p>
    <w:p w14:paraId="43121793"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lastRenderedPageBreak/>
        <w:t>Audit records must identify the user, date, time and nature of each action and must not be editable by ordinary users. The system must maintain accurate patient identification information and reduce the risk of records being associated with the wrong patient when information is received from different organisations or external services. It should remain sufficiently available to support time-sensitive clinical, administrative and financial work and must provide an appropriate procedure for recording activities completed during any period of system or external-service unavailability.</w:t>
      </w:r>
    </w:p>
    <w:p w14:paraId="281F2FA8" w14:textId="77777777"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Management requires reports showing referral volumes, outstanding referrals, appointment waiting times, unsuccessful patient contact attempts, delayed clinic letters, unresolved enquiries, treatment-booking delays, outstanding funding approvals, failed or incomplete payments, refunds awaiting processing and the progress of individual patient pathways. Clinical staff are concerned that extensive administrative recording could reduce the time available for patient care, while administrative and financial managers require sufficient information to demonstrate accountability, identify delays and meet operational targets.</w:t>
      </w:r>
    </w:p>
    <w:p w14:paraId="4F73FDEC" w14:textId="2A9FCF23" w:rsidR="00F75B94" w:rsidRPr="00F13020" w:rsidRDefault="00F75B94" w:rsidP="00A1486F">
      <w:pPr>
        <w:pStyle w:val="isselectedend"/>
        <w:rPr>
          <w:rFonts w:ascii="Calibri" w:hAnsi="Calibri" w:cs="Calibri"/>
          <w:color w:val="000000"/>
          <w:sz w:val="28"/>
          <w:szCs w:val="28"/>
          <w:lang w:val="en-GB"/>
        </w:rPr>
      </w:pPr>
      <w:r w:rsidRPr="00F13020">
        <w:rPr>
          <w:rFonts w:ascii="Calibri" w:hAnsi="Calibri" w:cs="Calibri"/>
          <w:color w:val="000000"/>
          <w:sz w:val="28"/>
          <w:szCs w:val="28"/>
          <w:lang w:val="en-GB"/>
        </w:rPr>
        <w:t xml:space="preserve">Patients expect timely communication and protection of their personal and financial information, but some may prefer postal communication, some may prefer digital </w:t>
      </w:r>
      <w:r w:rsidR="00F13020" w:rsidRPr="00F13020">
        <w:rPr>
          <w:rFonts w:ascii="Calibri" w:hAnsi="Calibri" w:cs="Calibri"/>
          <w:color w:val="000000"/>
          <w:sz w:val="28"/>
          <w:szCs w:val="28"/>
          <w:lang w:val="en-GB"/>
        </w:rPr>
        <w:t>communication,</w:t>
      </w:r>
      <w:r w:rsidRPr="00F13020">
        <w:rPr>
          <w:rFonts w:ascii="Calibri" w:hAnsi="Calibri" w:cs="Calibri"/>
          <w:color w:val="000000"/>
          <w:sz w:val="28"/>
          <w:szCs w:val="28"/>
          <w:lang w:val="en-GB"/>
        </w:rPr>
        <w:t xml:space="preserve"> and others may require accessible formats, translation support or assistance from an authorised representative. The hospital recognises that these expectations may conflict and that some existing working practices are inconsistent across teams.</w:t>
      </w:r>
    </w:p>
    <w:p w14:paraId="2FE121EC" w14:textId="1AB83569" w:rsidR="00F75B94" w:rsidRPr="00F13020" w:rsidRDefault="00F75B94" w:rsidP="00A1486F">
      <w:pPr>
        <w:pStyle w:val="NormalWeb"/>
        <w:rPr>
          <w:rFonts w:ascii="Calibri" w:hAnsi="Calibri" w:cs="Calibri"/>
          <w:color w:val="000000"/>
          <w:sz w:val="28"/>
          <w:szCs w:val="28"/>
          <w:lang w:val="en-GB"/>
        </w:rPr>
      </w:pPr>
      <w:r w:rsidRPr="00F13020">
        <w:rPr>
          <w:rFonts w:ascii="Calibri" w:hAnsi="Calibri" w:cs="Calibri"/>
          <w:color w:val="000000"/>
          <w:sz w:val="28"/>
          <w:szCs w:val="28"/>
          <w:lang w:val="en-GB"/>
        </w:rPr>
        <w:t xml:space="preserve">The organisation expects the requirements engineering team to investigate these issues, identify the stakeholders and their goals, examine the dependencies and potential conflicts between clinical, administrative and financial teams, determine the information and authorisations required at each stage, analyse the interactions with external scheduling, correspondence, clinical and payment services, identify possible failures and delays, and propose functional and non-functional requirements for an effective Hospital Patient Administration System. Where the case does not provide sufficient information, the team is expected to identify the ambiguity, consult the appropriate stakeholders </w:t>
      </w:r>
      <w:r w:rsidR="002031F8" w:rsidRPr="00F13020">
        <w:rPr>
          <w:rFonts w:ascii="Calibri" w:hAnsi="Calibri" w:cs="Calibri"/>
          <w:color w:val="000000"/>
          <w:sz w:val="28"/>
          <w:szCs w:val="28"/>
          <w:lang w:val="en-GB"/>
        </w:rPr>
        <w:t xml:space="preserve">(Tutors) </w:t>
      </w:r>
      <w:r w:rsidRPr="00F13020">
        <w:rPr>
          <w:rFonts w:ascii="Calibri" w:hAnsi="Calibri" w:cs="Calibri"/>
          <w:color w:val="000000"/>
          <w:sz w:val="28"/>
          <w:szCs w:val="28"/>
          <w:lang w:val="en-GB"/>
        </w:rPr>
        <w:t>where possible and document reasonable assumptions.</w:t>
      </w:r>
    </w:p>
    <w:p w14:paraId="70E0F5C7" w14:textId="7F67CC92" w:rsidR="00AC210D" w:rsidRPr="00F13020" w:rsidRDefault="00AC210D" w:rsidP="00A1486F">
      <w:pPr>
        <w:rPr>
          <w:rFonts w:ascii="Calibri" w:hAnsi="Calibri" w:cs="Calibri"/>
          <w:sz w:val="28"/>
          <w:szCs w:val="28"/>
          <w:lang w:val="en-GB"/>
        </w:rPr>
      </w:pPr>
    </w:p>
    <w:sectPr w:rsidR="00AC210D" w:rsidRPr="00F13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98"/>
    <w:rsid w:val="00011C93"/>
    <w:rsid w:val="001C745A"/>
    <w:rsid w:val="002031F8"/>
    <w:rsid w:val="003418EB"/>
    <w:rsid w:val="0047400A"/>
    <w:rsid w:val="006C2698"/>
    <w:rsid w:val="00830AAA"/>
    <w:rsid w:val="008C2D7A"/>
    <w:rsid w:val="009E54E2"/>
    <w:rsid w:val="00A1486F"/>
    <w:rsid w:val="00AC210D"/>
    <w:rsid w:val="00C17615"/>
    <w:rsid w:val="00EA70E4"/>
    <w:rsid w:val="00EA795F"/>
    <w:rsid w:val="00F13020"/>
    <w:rsid w:val="00F75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3F31D8"/>
  <w15:chartTrackingRefBased/>
  <w15:docId w15:val="{85E747A7-9DFF-1E4D-8BA9-65694F26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698"/>
    <w:rPr>
      <w:rFonts w:eastAsiaTheme="majorEastAsia" w:cstheme="majorBidi"/>
      <w:color w:val="272727" w:themeColor="text1" w:themeTint="D8"/>
    </w:rPr>
  </w:style>
  <w:style w:type="paragraph" w:styleId="Title">
    <w:name w:val="Title"/>
    <w:basedOn w:val="Normal"/>
    <w:next w:val="Normal"/>
    <w:link w:val="TitleChar"/>
    <w:uiPriority w:val="10"/>
    <w:qFormat/>
    <w:rsid w:val="006C2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698"/>
    <w:pPr>
      <w:spacing w:before="160"/>
      <w:jc w:val="center"/>
    </w:pPr>
    <w:rPr>
      <w:i/>
      <w:iCs/>
      <w:color w:val="404040" w:themeColor="text1" w:themeTint="BF"/>
    </w:rPr>
  </w:style>
  <w:style w:type="character" w:customStyle="1" w:styleId="QuoteChar">
    <w:name w:val="Quote Char"/>
    <w:basedOn w:val="DefaultParagraphFont"/>
    <w:link w:val="Quote"/>
    <w:uiPriority w:val="29"/>
    <w:rsid w:val="006C2698"/>
    <w:rPr>
      <w:i/>
      <w:iCs/>
      <w:color w:val="404040" w:themeColor="text1" w:themeTint="BF"/>
    </w:rPr>
  </w:style>
  <w:style w:type="paragraph" w:styleId="ListParagraph">
    <w:name w:val="List Paragraph"/>
    <w:basedOn w:val="Normal"/>
    <w:uiPriority w:val="34"/>
    <w:qFormat/>
    <w:rsid w:val="006C2698"/>
    <w:pPr>
      <w:ind w:left="720"/>
      <w:contextualSpacing/>
    </w:pPr>
  </w:style>
  <w:style w:type="character" w:styleId="IntenseEmphasis">
    <w:name w:val="Intense Emphasis"/>
    <w:basedOn w:val="DefaultParagraphFont"/>
    <w:uiPriority w:val="21"/>
    <w:qFormat/>
    <w:rsid w:val="006C2698"/>
    <w:rPr>
      <w:i/>
      <w:iCs/>
      <w:color w:val="0F4761" w:themeColor="accent1" w:themeShade="BF"/>
    </w:rPr>
  </w:style>
  <w:style w:type="paragraph" w:styleId="IntenseQuote">
    <w:name w:val="Intense Quote"/>
    <w:basedOn w:val="Normal"/>
    <w:next w:val="Normal"/>
    <w:link w:val="IntenseQuoteChar"/>
    <w:uiPriority w:val="30"/>
    <w:qFormat/>
    <w:rsid w:val="006C2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698"/>
    <w:rPr>
      <w:i/>
      <w:iCs/>
      <w:color w:val="0F4761" w:themeColor="accent1" w:themeShade="BF"/>
    </w:rPr>
  </w:style>
  <w:style w:type="character" w:styleId="IntenseReference">
    <w:name w:val="Intense Reference"/>
    <w:basedOn w:val="DefaultParagraphFont"/>
    <w:uiPriority w:val="32"/>
    <w:qFormat/>
    <w:rsid w:val="006C2698"/>
    <w:rPr>
      <w:b/>
      <w:bCs/>
      <w:smallCaps/>
      <w:color w:val="0F4761" w:themeColor="accent1" w:themeShade="BF"/>
      <w:spacing w:val="5"/>
    </w:rPr>
  </w:style>
  <w:style w:type="paragraph" w:customStyle="1" w:styleId="isselectedend">
    <w:name w:val="isselectedend"/>
    <w:basedOn w:val="Normal"/>
    <w:rsid w:val="00F75B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5B94"/>
    <w:rPr>
      <w:b/>
      <w:bCs/>
    </w:rPr>
  </w:style>
  <w:style w:type="paragraph" w:styleId="NormalWeb">
    <w:name w:val="Normal (Web)"/>
    <w:basedOn w:val="Normal"/>
    <w:uiPriority w:val="99"/>
    <w:semiHidden/>
    <w:unhideWhenUsed/>
    <w:rsid w:val="00F75B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b5e04a5e7a9d584eebcc14a0252af4fd">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7e7987d2f4348270892ad57abc2aad26"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Props1.xml><?xml version="1.0" encoding="utf-8"?>
<ds:datastoreItem xmlns:ds="http://schemas.openxmlformats.org/officeDocument/2006/customXml" ds:itemID="{2FCE141C-8273-4CF7-9C7E-277B5B79F8FA}"/>
</file>

<file path=customXml/itemProps2.xml><?xml version="1.0" encoding="utf-8"?>
<ds:datastoreItem xmlns:ds="http://schemas.openxmlformats.org/officeDocument/2006/customXml" ds:itemID="{55B43B09-F542-43D2-9FB8-709964E4FBAD}"/>
</file>

<file path=customXml/itemProps3.xml><?xml version="1.0" encoding="utf-8"?>
<ds:datastoreItem xmlns:ds="http://schemas.openxmlformats.org/officeDocument/2006/customXml" ds:itemID="{EEFC3330-7DCE-481F-8F49-5D157666D3B9}"/>
</file>

<file path=docMetadata/LabelInfo.xml><?xml version="1.0" encoding="utf-8"?>
<clbl:labelList xmlns:clbl="http://schemas.microsoft.com/office/2020/mipLabelMetadata">
  <clbl:label id="{0c7fd77c-bf1b-4511-8a0d-ca095442aa9f}"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7</Pages>
  <Words>2522</Words>
  <Characters>14382</Characters>
  <Application>Microsoft Office Word</Application>
  <DocSecurity>0</DocSecurity>
  <Lines>119</Lines>
  <Paragraphs>33</Paragraphs>
  <ScaleCrop>false</ScaleCrop>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19</cp:revision>
  <dcterms:created xsi:type="dcterms:W3CDTF">2026-09-11T15:27:00Z</dcterms:created>
  <dcterms:modified xsi:type="dcterms:W3CDTF">2026-09-11T15:46:00Z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ies>
</file>