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张茗昭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1993.12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15003484194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云南省丽江市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eia51mg@live.com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基础医学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北京吉利学院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管理科学与工程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：1992/08-2010/07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：浙江网新帮德信息服务有限公司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招聘主管/经理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：2004年05月-2017年09月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：瑞庭网络技术有限公司-安居客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前台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1993.10-2013.08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专题博物馆建设与新岭南文化发展研究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机械臂相关产品硬件总体方案设计及元器件选型；2.负责系统分析、模块设计、系统测试和调试，按时完成开发计划；3.完成硬件验证，解决测试和生产中发现的问题，完成版本迭代，并进行归档；4.协助制定产品技术标准、设计标准、质量标准等规范；5.协助市场、生产等部门提供相应的技术支持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2005年06月-2015年06月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时间、技术与科学——技术介入科学的现象学研究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