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康国</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13408705176</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ox5anm@hotmail.com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:湖南省怀化市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湖南省怀化市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84</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2006.07-2010.07</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北京市朝阳区职工大学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航空航天</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2009.05-2013.05</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北京体育大学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中药学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2005.11-2009.11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北京开放大学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经济与贸易</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1996.11-2017.10</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广东志高暖通设备股份有限公司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标书制作员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2007/10-2012/07</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广东肯富来泵业股份有限公司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scratch编程讲师</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独立负责开发任务的设计，设置工作计划；保证开发任务按时完成；独立解决所负责技术领域的问题；具备团队精神，与相关同事协同工作以及与客户良好的沟通能力；</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1998/01-2015/12</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广东肯富来泵业股份有限公司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人事主管--薪酬</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接听电话，记录留言，并按要求转接电话或记录信息，确保信息准确无误。2.对来访客人做好接待，引领，登记，引导，及时通知被访人员。3.文件处理，下发文件，收发快递、短信，打印、复印文件，合理使用纸张，降低材料消耗。4.保持前台，会议室，接待区整洁。保持办公室地面，桌椅整洁，及时清理垃圾，维护花木。5.管理办公室用品，库存清单，登记办公用品和会议物品出库入库，做好各类物资库存表，每月统计登记在册。6.每日早晨做好考勤的严格把关，每月打印上月考勤记录，跟员工核对无误后上交至人事总监。7.参与员工活动、及各类会议的服务工作。8.对员工领用办公用品登记造册，向新入职员工登记发放办公用品，对离职员工收回办公用品。9.完成领导交代的其他事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1999.08-2014.05</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昆明方德波尔格玫瑰花卉有限公司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市场专员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全面负责门店人事行政、商户管理及对内环境管理等方面后台支持服务工作，确保门店的正常运转；2、全面负责门店人员的招聘、培训、员工关系、人才梯队建设；3、全面负责管控门店人事行政事务、公共关系等方面及行政费用、用人管理费用；4、全面负责门店各类资产的实物管理，包括入库记账、登记造册、维修、盘点等方面的管理工作；5、统筹负责门店招商面积的补充或调整性招商，完成收益指标，跟进合作商户日常营运管理；6、负责各单位关系建设，为门店正常经营创建良好的外部环境；7、负责门店内部文化活动氛围的营造与对接协调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