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元轮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1984/11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15602367378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f6i7kkl5@yahoo.com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2007.02-2011.02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计算机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2005.05-2009.05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首都师范大学科德学院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统计学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1999/08-2016/08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郑州长秀品牌策划设计有限公司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行政人事主管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2007.08-2010.03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深圳市恒信永利金融服务有限公司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淘宝专员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2000/12-2012/12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南宁市金梦博识教育科技有限公司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Java开发工程师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2000.09-2018.02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合肥优然牧业有限责任公司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汽车美容师全城就近分配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1、开发和维护外贸市场，完成订单任务；2、完成上级领导交办的各项工作内容。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2000.07-2012.10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2009.11-2019.06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负责售前对接、售后处理、投诉处理等事宜；wing系统退货、审单、缺货，系统异常处理；定期监测各平台店铺DSR指标和无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2005.09-2017.09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1、课程开发2、部分课程讲授3、对各课程进行分析总结，提供培训管理与课程完善合理化建议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