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娄晓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13608602717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联合水务集团有限公司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2000/08-2010/12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依蝶雅品牌管理股份有限公司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教学助理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2001年09月-2015年01月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1998.10-2012.03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1991/08-2016/01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2002.07-2013.10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建立，维护销售渠道，负责区域内的市场维护和开发工作；2、收集区域内的客户信息，了解客户需求，并提供相应的解决方案；3、主要从事广播、会议、舞台灯光的渠道销售工作，并完成相应的销售指标；4、跟踪客户的使用情况，及时反馈，并做好维护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2009年01月-2011年01月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中国戏曲学院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教育学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国际关系学院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社会学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