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禹海辰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1986.09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13805072102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bjkg84@aol.com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中央财经大学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1997年07月-2017年04月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PMA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大化鱼羊鲜餐饮服务有限公司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2007.04-2014.01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会籍顾问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深圳市乐有家控股集团有限公司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1.负责进口业务与代理对接；2.负责斯丹姆公司总账，报税，外部审计；3.定期编制财务管理报告，财务数据的校对，分析和控制；4.相关对外合同的财务审核；5.集团财务管理部分的内部分摊。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2005/05-2010/05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长度力学计量工程师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安得智联科技股份有限公司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2007/02-2013/09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解决方案工程师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杭州万科物业服务有限公司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中央财经大学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