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余慧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13207232790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za6lwwi@google.com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:黑龙江省哈尔滨市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黑龙江省哈尔滨市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2011.06-2015.06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北京科技职业学院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2002.06-2006.06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北京市崇文区职工大学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2003.09-2016.07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河南优美办公家具有限公司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高级产品经理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2000/12-2018/08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德高建材有限公司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储备干部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1.为咨询学员提供课程咨询、备考方案规划和签约报名等服务；2.每日完成客户的约访、课程咨询及跟踪任务；3.协助经理完成销售业绩指标；4.配合教服务人员完成对学员的全程服务。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