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伏航航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北京电子科技学院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澳门省澳门市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13106591045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qihc8ap@163.net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1993/07-2018/10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深圳市百盈生命科技有限公司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运营分析主管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全面负责门店人事行政、商户管理及对内环境管理等方面后台支持服务工作，确保门店的正常运转；2、全面负责门店人员的招聘、培训、员工关系、人才梯队建设；3、全面负责管控门店人事行政事务、公共关系等方面及行政费用、用人管理费用；4、全面负责门店各类资产的实物管理，包括入库记账、登记造册、维修、盘点等方面的管理工作；5、统筹负责门店招商面积的补充或调整性招商，完成收益指标，跟进合作商户日常营运管理；6、负责各单位关系建设，为门店正常经营创建良好的外部环境；7、负责门店内部文化活动氛围的营造与对接协调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1997年05月-2018年11月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北京浩普中兴科技有限公司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项目经理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2009年07月-2013年05月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重庆拓新控股有限公司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数据应用开发高级工程师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1、负责订单数据的统计分析；2、负责项目的业务对接工作；3、负责投标文件的编制、跟踪投标环节，对报价、议价、发布结果及中标信息及时确认。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北京电影学院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财政学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2003.06-2018.12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1、负责区域内的医药销售和团队建设工作；2、负责销售指标的达成；3、负责销售队伍的建设和下属的培养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2002年04月-2016年04月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