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严康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中南海业余大学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39岁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中国民主建国会会员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西藏省拉萨市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13401857894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js3eg8@hotmail.com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1995年10月-2013年05月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厦门佰明光电股份有限公司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广告创意设计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组织参加公司的宣传活动，向潜在客户介绍公司的活动信息；2、在指定活动地点发放相关资料、收集问卷和顾客资料，确保良好的市场回馈率；3、免费向顾客提供内部学习资料和公司礼品，推广公司的品牌和形象；4、支持市场部门的其他宣传活动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1992.07-2017.10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安徽荃银高科种业股份有限公司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音箱销售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unity中场景的搭建和灯光渲染，以及场景所需的效果调整。少量模型制作修改和材质调整。2、负责游戏场景的性能把控，对不合格的场景进行调整，和策划程序保持良好沟通3、负责和策划评估场景制作前期计划。4、负责落实场景主管分配的制作任务，并按质按量完成5、参与场景内部的制作讨论和分享，和部门同事做好制作内容的协调配合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中南海业余大学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林业工程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清华大学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物流管理与工程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2004.07-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北京科技经营管理学院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工商管理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北京经济管理职业学院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化学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2003/03-2015/06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新岭南文化的内涵及发展对策研究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公司设备的现场安装、调试和维修，向客户提供技术培训，解答客户咨询，保障客户对售后服务的满意；2、负责对所辖区域内的经销商和窗口医院进行开发和维护，建立良好关系，完成销售任务；3、配合经销商跟进意向，负责售前讲解产品，配合售中招标活动；4、组织和参加所辖区域内学术会议和行业会展；5、维护各级合作客户关系，扩大品牌影响力，促进再成单；6、汇总终端客户的需求信息，进行市场分类分析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2005/11-2016/12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自媒体时代主流意识形态话语面临的挑战及对策研究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1.统筹部门工作规划、任务分配、流程的优化；2.负责与海关、地服公司、快递公司及总公司各个部门的沟通；3.协助现场查验工作；4.负责分公司日常事务的管理及突发事件的处理；5.领导交办的其他事项。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