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谈佳娥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59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15604868574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四川省广安市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北京财贸职业学院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外国语言文学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fefbwtys@qq.com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2006/12-2016/12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成都建筑材料工业设计研究院有限公司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1.负责贷款前客户资料的收集及录入；2.负责核实客户资料真实性；3.负责对贷款客户进行实地核查4.负责客户档案录入与相关部门的协作5.能独立完成领导交接的其他事项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2000年09月-2014年10月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酷家乐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2000.12-2014.12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成都禧来蜀韵园餐饮管理有限公司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项目名称：岭南文化融入大学生思想政治教育研究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1997.01-2010.12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集团总部课件编写、通用类及产品类；2、负责区域培训员的日常工作沟通跟进、培训师的辅导；3、有一定的零售店铺管理经验，对店铺数据类的指标敏感，有分析力；4、有企业文化培训经验，构建团队文化及团队凝聚力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项目名称：我国最低工资制度的落实状况及其影响研究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2002.04-2015.09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北京财贸职业学院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外国语言文学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2014.08-2018.08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北京工商大学嘉华学院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材料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2005.12-2009.12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