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江眉羽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13803508055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贵州聚智生态建设有限公司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工程经理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2001年01月-2019年07月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销售部的招聘，及时满足销售部的用人需求；根据部门的发展战略，分析业务部门人员结构，并给予人员配置优化的合理建议；2、根据公司经营目标，明确销售部与服务部人员绩效考核指标、做好绩效考核实施、评估、反馈、绩效面谈等相关工作；3、根据业务部门的绩效考核结果，进行有效分析，适时改进绩效考核方案；4、负责核算业务部门的绩效、薪酬、成本等报表；5、根据业务部门发展规划，制定年度培训计划，协助培训的组织，落实培训结果；7、负责业务部门的入离职、员工关系等人力资源管理基础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广州市腾昶贸易有限公司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运营主管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2007年01月-2013年08月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南京越智丰机电科技有限公司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销售行政助理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2005.11-2014.03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维护并推行公司业务发展的绩效考核体系，负责将绩效考核流程进行规范；2、负责追踪考核数据并核算其结果；3、分析绩效考核结果，并制订相关改进方案；4、负责公司年终绩效考评；5、根据公司现有编制及新项目需求，完成年度招聘计划；6、负责公司间接人员招聘工作；7、完成主管交办的其他事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1997年07月-2015年05月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1、接受并负责完成自己区域（东南亚或中东）的销售目标；2、完成负责区域客户联络，沟通、拜访、签约、交货、收款；3、完成负责区域的客户信息整理汇总，建立客户资料库；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传统家国情怀的价值内涵及其近代转型研究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1999/10-2017/11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审核并控制基建项目、产品项目、工厂运营相关预算，监督其执行情况；同时监管投资资金使用情况；2、针对基地财务相关业务进行专业分析并给出合理建议，促进降本增效，并不断改进；3、及时有效的审批采购、招标、合同盖章等流程；4、建设团队，制定团队提升计划，有效提升配合效率；5、协调并参与SAP、BPM等系统的搭建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北京汇佳职业学院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核工程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2007.08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