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卜超振</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卜超振</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15007145812</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hwz33rf@gmail.com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广东省河源市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广东省河源市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1955.08</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2011.04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2015.04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北京教育学院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自动化</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2003年09月-2019年11月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中航锂电科技有限公司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英语文员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1、配合部门负责人整理、撰写各类文书、合同等文件。2、撰写项目建议书。3、整理部门票据，提交部门费用报销等事宜。4、能够适应短期周边出差。5、领导安排的其他工作。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2001年12月-2013年08月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麦田房产福州公司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终端直营售后专员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售后服务团队的人员管理，工作分配。2.团队主要主要从事光伏电池行业设备移机，技术改造，售后安装调试等3.负责售前技术支持，协助业务进行工程现场勘查，项目评估成本报价核算等4.负责光伏行业核心备品备件，先进改造等产品的组织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2006年05月-2017年01月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河南省省直职工健身中心</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案场客服</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1.策划、组织、宣传员工文化活动，落实企业文化宣传，负责图片编辑、视频制作等；2.负责活动后期图片和素材整理，能协助平面设计师完成设计、制作活动材料；3.有一定的网管经验，能负责公司网络管理。</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2005年06月-2017年08月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威聚贸易有限公司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嵌入式软件工程师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2001.07-2010.11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新岭南文化的内涵及发展对策研究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1、执行公司环保信息化产品与项目在区域市场的销售计划和回款任务；2、对接环保局及环境监测站客户，维护及增***津冀区域市场的客户资源。</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