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阮政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15802627667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306msn@yahoo.com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1995年07月-2010年06月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江苏达科信息科技有限公司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人力资源专员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2001/08-2018/10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雅戈尔集团股份有限公司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HRBP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1992年02月-2013年09月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上海朗然文化传播有限公司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客户关系副经理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北京印刷学院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2008.05-2019.01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1、按时完成领导分配的采购工作，货比三家，积极开拓资源，完成降低采购成本的目的；2、根据计划进行采购物品的下单、跟踪、验收，完成相应报表；3、及时完成领导交办的其他事情。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2009/01-2010/04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2009/06-2013/04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2001.11-2015.11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